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84C7813">
      <w:pPr>
        <w:spacing w:line="360" w:lineRule="auto"/>
        <w:jc w:val="left"/>
        <w:rPr>
          <w:rFonts w:ascii="宋体" w:hAnsi="宋体"/>
          <w:color w:val="000000"/>
          <w:sz w:val="24"/>
        </w:rPr>
      </w:pPr>
      <w:r>
        <w:rPr>
          <w:rFonts w:ascii="Arial Unicode MS" w:hAnsi="Arial Unicode MS" w:eastAsia="Arial Unicode MS" w:cs="Arial Unicode MS"/>
          <w:b/>
          <w:sz w:val="13"/>
          <w:szCs w:val="13"/>
        </w:rPr>
        <mc:AlternateContent>
          <mc:Choice Requires="wps">
            <w:drawing>
              <wp:anchor distT="0" distB="0" distL="114300" distR="114300" simplePos="0" relativeHeight="251661312" behindDoc="1" locked="0" layoutInCell="1" allowOverlap="1">
                <wp:simplePos x="0" y="0"/>
                <wp:positionH relativeFrom="column">
                  <wp:posOffset>4439285</wp:posOffset>
                </wp:positionH>
                <wp:positionV relativeFrom="paragraph">
                  <wp:posOffset>-478790</wp:posOffset>
                </wp:positionV>
                <wp:extent cx="2019300" cy="693420"/>
                <wp:effectExtent l="4445" t="4445" r="14605" b="6985"/>
                <wp:wrapNone/>
                <wp:docPr id="8" name="Rectangle 3"/>
                <wp:cNvGraphicFramePr/>
                <a:graphic xmlns:a="http://schemas.openxmlformats.org/drawingml/2006/main">
                  <a:graphicData uri="http://schemas.microsoft.com/office/word/2010/wordprocessingShape">
                    <wps:wsp>
                      <wps:cNvSpPr/>
                      <wps:spPr>
                        <a:xfrm>
                          <a:off x="0" y="0"/>
                          <a:ext cx="20193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8A8BDD">
                            <w:pPr>
                              <w:ind w:left="1050" w:hanging="1050" w:hangingChars="500"/>
                              <w:rPr>
                                <w:rFonts w:hint="default" w:eastAsia="宋体"/>
                                <w:lang w:val="en-US" w:eastAsia="zh-CN"/>
                              </w:rPr>
                            </w:pPr>
                            <w:r>
                              <w:rPr>
                                <w:rFonts w:hint="eastAsia"/>
                                <w:lang w:eastAsia="zh-CN"/>
                              </w:rPr>
                              <w:t>合同</w:t>
                            </w:r>
                            <w:r>
                              <w:rPr>
                                <w:rFonts w:hint="eastAsia"/>
                              </w:rPr>
                              <w:t>编号：TS</w:t>
                            </w:r>
                            <w:r>
                              <w:rPr>
                                <w:rFonts w:hint="eastAsia"/>
                                <w:lang w:val="en-US" w:eastAsia="zh-CN"/>
                              </w:rPr>
                              <w:t>Q25300X</w:t>
                            </w:r>
                          </w:p>
                          <w:p w14:paraId="0002BF76">
                            <w:pPr>
                              <w:ind w:left="1050" w:hanging="1050" w:hangingChars="500"/>
                            </w:pPr>
                            <w:r>
                              <w:rPr>
                                <w:rFonts w:hint="eastAsia"/>
                              </w:rPr>
                              <w:t xml:space="preserve">          </w:t>
                            </w:r>
                            <w:r>
                              <w:rPr>
                                <w:rFonts w:hint="eastAsia"/>
                                <w:lang w:val="en-US" w:eastAsia="zh-CN"/>
                              </w:rPr>
                              <w:t>TSE25200X</w:t>
                            </w:r>
                            <w:r>
                              <w:rPr>
                                <w:rFonts w:hint="eastAsia"/>
                              </w:rPr>
                              <w:t xml:space="preserve">          </w:t>
                            </w:r>
                            <w:r>
                              <w:rPr>
                                <w:rFonts w:hint="eastAsia"/>
                                <w:lang w:val="en-US" w:eastAsia="zh-CN"/>
                              </w:rPr>
                              <w:t>TSS25100X</w:t>
                            </w:r>
                            <w:r>
                              <w:rPr>
                                <w:rFonts w:hint="eastAsia"/>
                              </w:rPr>
                              <w:t xml:space="preserve"> </w:t>
                            </w:r>
                          </w:p>
                          <w:p w14:paraId="242AE770">
                            <w:pPr>
                              <w:ind w:left="1050" w:leftChars="500"/>
                            </w:pPr>
                            <w:r>
                              <w:rPr>
                                <w:rFonts w:hint="eastAsia"/>
                                <w:bCs/>
                                <w:szCs w:val="21"/>
                              </w:rPr>
                              <w:t>TSS221004</w:t>
                            </w:r>
                          </w:p>
                        </w:txbxContent>
                      </wps:txbx>
                      <wps:bodyPr vert="horz" anchor="t" anchorCtr="0" upright="1"/>
                    </wps:wsp>
                  </a:graphicData>
                </a:graphic>
              </wp:anchor>
            </w:drawing>
          </mc:Choice>
          <mc:Fallback>
            <w:pict>
              <v:rect id="Rectangle 3" o:spid="_x0000_s1026" o:spt="1" style="position:absolute;left:0pt;margin-left:349.55pt;margin-top:-37.7pt;height:54.6pt;width:159pt;z-index:-251655168;mso-width-relative:page;mso-height-relative:page;" fillcolor="#FFFFFF" filled="t" stroked="t" coordsize="21600,21600" o:gfxdata="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l4TltkAAAALAQAADwAAAAAA&#10;AAABACAAAAAiAAAAZHJzL2Rvd25yZXYueG1sUEsBAhQAFAAAAAgAh07iQMhId54SAgAAXwQAAA4A&#10;AAAAAAAAAQAgAAAAKAEAAGRycy9lMm9Eb2MueG1sUEsFBgAAAAAGAAYAWQEAAKwFAAAAAA==&#10;">
                <v:fill on="t" focussize="0,0"/>
                <v:stroke color="#000000" joinstyle="miter"/>
                <v:imagedata o:title=""/>
                <o:lock v:ext="edit" aspectratio="f"/>
                <v:textbox>
                  <w:txbxContent>
                    <w:p w14:paraId="408A8BDD">
                      <w:pPr>
                        <w:ind w:left="1050" w:hanging="1050" w:hangingChars="500"/>
                        <w:rPr>
                          <w:rFonts w:hint="default" w:eastAsia="宋体"/>
                          <w:lang w:val="en-US" w:eastAsia="zh-CN"/>
                        </w:rPr>
                      </w:pPr>
                      <w:r>
                        <w:rPr>
                          <w:rFonts w:hint="eastAsia"/>
                          <w:lang w:eastAsia="zh-CN"/>
                        </w:rPr>
                        <w:t>合同</w:t>
                      </w:r>
                      <w:r>
                        <w:rPr>
                          <w:rFonts w:hint="eastAsia"/>
                        </w:rPr>
                        <w:t>编号：TS</w:t>
                      </w:r>
                      <w:r>
                        <w:rPr>
                          <w:rFonts w:hint="eastAsia"/>
                          <w:lang w:val="en-US" w:eastAsia="zh-CN"/>
                        </w:rPr>
                        <w:t>Q25300X</w:t>
                      </w:r>
                    </w:p>
                    <w:p w14:paraId="0002BF76">
                      <w:pPr>
                        <w:ind w:left="1050" w:hanging="1050" w:hangingChars="500"/>
                      </w:pPr>
                      <w:r>
                        <w:rPr>
                          <w:rFonts w:hint="eastAsia"/>
                        </w:rPr>
                        <w:t xml:space="preserve">          </w:t>
                      </w:r>
                      <w:r>
                        <w:rPr>
                          <w:rFonts w:hint="eastAsia"/>
                          <w:lang w:val="en-US" w:eastAsia="zh-CN"/>
                        </w:rPr>
                        <w:t>TSE25200X</w:t>
                      </w:r>
                      <w:r>
                        <w:rPr>
                          <w:rFonts w:hint="eastAsia"/>
                        </w:rPr>
                        <w:t xml:space="preserve">          </w:t>
                      </w:r>
                      <w:r>
                        <w:rPr>
                          <w:rFonts w:hint="eastAsia"/>
                          <w:lang w:val="en-US" w:eastAsia="zh-CN"/>
                        </w:rPr>
                        <w:t>TSS25100X</w:t>
                      </w:r>
                      <w:r>
                        <w:rPr>
                          <w:rFonts w:hint="eastAsia"/>
                        </w:rPr>
                        <w:t xml:space="preserve"> </w:t>
                      </w:r>
                    </w:p>
                    <w:p w14:paraId="242AE770">
                      <w:pPr>
                        <w:ind w:left="1050" w:leftChars="500"/>
                      </w:pPr>
                      <w:r>
                        <w:rPr>
                          <w:rFonts w:hint="eastAsia"/>
                          <w:bCs/>
                          <w:szCs w:val="21"/>
                        </w:rPr>
                        <w:t>TSS221004</w:t>
                      </w:r>
                    </w:p>
                  </w:txbxContent>
                </v:textbox>
              </v:rect>
            </w:pict>
          </mc:Fallback>
        </mc:AlternateContent>
      </w:r>
      <w:r>
        <w:rPr>
          <w:rFonts w:hint="eastAsia"/>
          <w:color w:val="000000"/>
          <w:sz w:val="48"/>
          <w:szCs w:val="48"/>
        </w:rPr>
        <w:t xml:space="preserve">               </w:t>
      </w:r>
      <w:r>
        <w:rPr>
          <w:rFonts w:hint="eastAsia" w:ascii="宋体" w:hAnsi="宋体"/>
          <w:color w:val="000000"/>
          <w:sz w:val="24"/>
        </w:rPr>
        <w:t xml:space="preserve">                   </w:t>
      </w:r>
    </w:p>
    <w:p w14:paraId="45509216">
      <w:pPr>
        <w:spacing w:line="360" w:lineRule="auto"/>
        <w:jc w:val="center"/>
      </w:pPr>
    </w:p>
    <w:p w14:paraId="76CAEE65">
      <w:pPr>
        <w:spacing w:line="360" w:lineRule="auto"/>
        <w:rPr>
          <w:color w:val="000000"/>
          <w:sz w:val="24"/>
          <w:lang w:val="en-GB"/>
        </w:rPr>
      </w:pPr>
    </w:p>
    <w:p w14:paraId="6C78BED7">
      <w:pPr>
        <w:spacing w:line="360" w:lineRule="auto"/>
        <w:jc w:val="center"/>
        <w:rPr>
          <w:rFonts w:hint="eastAsia"/>
          <w:color w:val="000000"/>
          <w:sz w:val="44"/>
          <w:szCs w:val="44"/>
          <w:lang w:val="en-US" w:eastAsia="zh-CN"/>
        </w:rPr>
      </w:pPr>
      <w:r>
        <w:rPr>
          <w:rFonts w:hint="eastAsia" w:eastAsia="宋体"/>
          <w:lang w:eastAsia="zh-CN"/>
        </w:rPr>
        <w:drawing>
          <wp:inline distT="0" distB="0" distL="114300" distR="114300">
            <wp:extent cx="2867025" cy="2708275"/>
            <wp:effectExtent l="0" t="0" r="0" b="0"/>
            <wp:docPr id="1" name="图片 1" descr="微信图片_2021102514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5143451"/>
                    <pic:cNvPicPr>
                      <a:picLocks noChangeAspect="1"/>
                    </pic:cNvPicPr>
                  </pic:nvPicPr>
                  <pic:blipFill>
                    <a:blip r:embed="rId8"/>
                    <a:stretch>
                      <a:fillRect/>
                    </a:stretch>
                  </pic:blipFill>
                  <pic:spPr>
                    <a:xfrm>
                      <a:off x="0" y="0"/>
                      <a:ext cx="2867025" cy="2708275"/>
                    </a:xfrm>
                    <a:prstGeom prst="rect">
                      <a:avLst/>
                    </a:prstGeom>
                  </pic:spPr>
                </pic:pic>
              </a:graphicData>
            </a:graphic>
          </wp:inline>
        </w:drawing>
      </w:r>
    </w:p>
    <w:p w14:paraId="44EADE4D">
      <w:pPr>
        <w:spacing w:line="360" w:lineRule="auto"/>
        <w:jc w:val="center"/>
        <w:rPr>
          <w:rFonts w:hint="default" w:eastAsia="宋体"/>
          <w:color w:val="000000"/>
          <w:sz w:val="44"/>
          <w:szCs w:val="44"/>
          <w:lang w:val="en-US" w:eastAsia="zh-CN"/>
        </w:rPr>
      </w:pPr>
      <w:r>
        <w:rPr>
          <w:rFonts w:hint="eastAsia"/>
          <w:color w:val="000000"/>
          <w:sz w:val="44"/>
          <w:szCs w:val="44"/>
          <w:lang w:val="en-US" w:eastAsia="zh-CN"/>
        </w:rPr>
        <w:t>天溯国际质量认证（深圳）有限公司</w:t>
      </w:r>
    </w:p>
    <w:p w14:paraId="7881830E">
      <w:pPr>
        <w:spacing w:line="360" w:lineRule="auto"/>
        <w:rPr>
          <w:color w:val="000000"/>
          <w:sz w:val="24"/>
          <w:lang w:val="en-GB"/>
        </w:rPr>
      </w:pPr>
    </w:p>
    <w:p w14:paraId="2E2D4CAD">
      <w:pPr>
        <w:spacing w:line="360" w:lineRule="auto"/>
        <w:rPr>
          <w:color w:val="000000"/>
          <w:sz w:val="24"/>
          <w:lang w:val="en-GB"/>
        </w:rPr>
      </w:pPr>
    </w:p>
    <w:p w14:paraId="6A2D2E7D">
      <w:pPr>
        <w:spacing w:line="360" w:lineRule="auto"/>
        <w:rPr>
          <w:color w:val="000000"/>
          <w:sz w:val="24"/>
          <w:lang w:val="en-GB"/>
        </w:rPr>
      </w:pPr>
    </w:p>
    <w:p w14:paraId="7B2216D5">
      <w:pPr>
        <w:spacing w:line="360" w:lineRule="auto"/>
        <w:rPr>
          <w:color w:val="000000"/>
          <w:sz w:val="24"/>
          <w:lang w:val="en-GB"/>
        </w:rPr>
      </w:pPr>
    </w:p>
    <w:p w14:paraId="20178404">
      <w:pPr>
        <w:spacing w:line="360" w:lineRule="auto"/>
        <w:jc w:val="center"/>
        <w:rPr>
          <w:color w:val="000000"/>
          <w:sz w:val="24"/>
        </w:rPr>
      </w:pPr>
      <w:r>
        <w:rPr>
          <w:rFonts w:hint="eastAsia" w:ascii="黑体" w:hAnsi="黑体" w:eastAsia="黑体" w:cs="黑体"/>
          <w:b/>
          <w:bCs/>
          <w:color w:val="000000"/>
          <w:sz w:val="72"/>
          <w:szCs w:val="72"/>
        </w:rPr>
        <w:t xml:space="preserve">认 证 合 同 </w:t>
      </w:r>
    </w:p>
    <w:p w14:paraId="20AB691D">
      <w:pPr>
        <w:spacing w:line="360" w:lineRule="auto"/>
        <w:rPr>
          <w:color w:val="000000"/>
          <w:sz w:val="24"/>
        </w:rPr>
      </w:pPr>
    </w:p>
    <w:p w14:paraId="06913B23">
      <w:pPr>
        <w:rPr>
          <w:rFonts w:hint="eastAsia"/>
          <w:sz w:val="28"/>
          <w:szCs w:val="28"/>
        </w:rPr>
      </w:pPr>
      <w:r>
        <w:rPr>
          <w:rFonts w:hint="eastAsia" w:ascii="宋体" w:hAnsi="宋体"/>
          <w:b/>
          <w:color w:val="000000"/>
          <w:sz w:val="28"/>
          <w:szCs w:val="28"/>
        </w:rPr>
        <w:t xml:space="preserve">            </w:t>
      </w:r>
    </w:p>
    <w:p w14:paraId="21C6F66E">
      <w:pPr>
        <w:rPr>
          <w:rFonts w:hint="eastAsia"/>
          <w:sz w:val="28"/>
          <w:szCs w:val="28"/>
        </w:rPr>
      </w:pPr>
    </w:p>
    <w:p w14:paraId="61B09C08">
      <w:pPr>
        <w:rPr>
          <w:rFonts w:hint="eastAsia"/>
          <w:sz w:val="28"/>
          <w:szCs w:val="28"/>
        </w:rPr>
      </w:pPr>
      <w:r>
        <w:rPr>
          <w:rFonts w:hint="eastAsia"/>
          <w:sz w:val="28"/>
          <w:szCs w:val="28"/>
        </w:rPr>
        <w:t xml:space="preserve">            </w:t>
      </w:r>
    </w:p>
    <w:tbl>
      <w:tblPr>
        <w:tblStyle w:val="8"/>
        <w:tblW w:w="0" w:type="auto"/>
        <w:jc w:val="center"/>
        <w:tblLayout w:type="fixed"/>
        <w:tblCellMar>
          <w:top w:w="0" w:type="dxa"/>
          <w:left w:w="108" w:type="dxa"/>
          <w:bottom w:w="0" w:type="dxa"/>
          <w:right w:w="108" w:type="dxa"/>
        </w:tblCellMar>
      </w:tblPr>
      <w:tblGrid>
        <w:gridCol w:w="3638"/>
        <w:gridCol w:w="4941"/>
      </w:tblGrid>
      <w:tr w14:paraId="2369F9D1">
        <w:tblPrEx>
          <w:tblCellMar>
            <w:top w:w="0" w:type="dxa"/>
            <w:left w:w="108" w:type="dxa"/>
            <w:bottom w:w="0" w:type="dxa"/>
            <w:right w:w="108" w:type="dxa"/>
          </w:tblCellMar>
        </w:tblPrEx>
        <w:trPr>
          <w:trHeight w:val="719" w:hRule="exact"/>
          <w:jc w:val="center"/>
        </w:trPr>
        <w:tc>
          <w:tcPr>
            <w:tcW w:w="3638" w:type="dxa"/>
            <w:noWrap w:val="0"/>
            <w:vAlign w:val="bottom"/>
          </w:tcPr>
          <w:p w14:paraId="351B9C03">
            <w:pPr>
              <w:ind w:right="140"/>
              <w:jc w:val="right"/>
              <w:rPr>
                <w:rFonts w:hint="eastAsia" w:ascii="宋体" w:hAnsi="宋体"/>
                <w:sz w:val="28"/>
                <w:szCs w:val="28"/>
              </w:rPr>
            </w:pPr>
            <w:r>
              <w:rPr>
                <w:rFonts w:hint="eastAsia" w:ascii="宋体" w:hAnsi="宋体"/>
                <w:sz w:val="28"/>
                <w:szCs w:val="28"/>
              </w:rPr>
              <w:t>甲方 (受审核方)：</w:t>
            </w:r>
          </w:p>
        </w:tc>
        <w:tc>
          <w:tcPr>
            <w:tcW w:w="4941" w:type="dxa"/>
            <w:tcBorders>
              <w:bottom w:val="single" w:color="auto" w:sz="4" w:space="0"/>
            </w:tcBorders>
            <w:noWrap w:val="0"/>
            <w:vAlign w:val="bottom"/>
          </w:tcPr>
          <w:p w14:paraId="144339A2">
            <w:pPr>
              <w:spacing w:line="360" w:lineRule="auto"/>
              <w:rPr>
                <w:rFonts w:hint="eastAsia" w:ascii="宋体" w:hAnsi="宋体"/>
                <w:sz w:val="28"/>
                <w:szCs w:val="28"/>
              </w:rPr>
            </w:pPr>
            <w:r>
              <w:rPr>
                <w:rFonts w:hint="eastAsia" w:ascii="宋体" w:hAnsi="宋体"/>
                <w:sz w:val="28"/>
                <w:szCs w:val="28"/>
              </w:rPr>
              <w:t xml:space="preserve"> </w:t>
            </w:r>
          </w:p>
        </w:tc>
      </w:tr>
      <w:tr w14:paraId="13F4372B">
        <w:tblPrEx>
          <w:tblCellMar>
            <w:top w:w="0" w:type="dxa"/>
            <w:left w:w="108" w:type="dxa"/>
            <w:bottom w:w="0" w:type="dxa"/>
            <w:right w:w="108" w:type="dxa"/>
          </w:tblCellMar>
        </w:tblPrEx>
        <w:trPr>
          <w:trHeight w:val="719" w:hRule="exact"/>
          <w:jc w:val="center"/>
        </w:trPr>
        <w:tc>
          <w:tcPr>
            <w:tcW w:w="3638" w:type="dxa"/>
            <w:noWrap w:val="0"/>
            <w:vAlign w:val="bottom"/>
          </w:tcPr>
          <w:p w14:paraId="06031C49">
            <w:pPr>
              <w:jc w:val="right"/>
              <w:rPr>
                <w:rFonts w:hint="eastAsia" w:ascii="宋体" w:hAnsi="宋体"/>
                <w:sz w:val="28"/>
                <w:szCs w:val="28"/>
              </w:rPr>
            </w:pPr>
          </w:p>
        </w:tc>
        <w:tc>
          <w:tcPr>
            <w:tcW w:w="4941" w:type="dxa"/>
            <w:tcBorders>
              <w:top w:val="single" w:color="auto" w:sz="4" w:space="0"/>
            </w:tcBorders>
            <w:noWrap w:val="0"/>
            <w:vAlign w:val="bottom"/>
          </w:tcPr>
          <w:p w14:paraId="52732329">
            <w:pPr>
              <w:rPr>
                <w:rFonts w:hint="eastAsia" w:ascii="宋体" w:hAnsi="宋体"/>
                <w:sz w:val="28"/>
                <w:szCs w:val="28"/>
              </w:rPr>
            </w:pPr>
          </w:p>
        </w:tc>
      </w:tr>
      <w:tr w14:paraId="00836C52">
        <w:tblPrEx>
          <w:tblCellMar>
            <w:top w:w="0" w:type="dxa"/>
            <w:left w:w="108" w:type="dxa"/>
            <w:bottom w:w="0" w:type="dxa"/>
            <w:right w:w="108" w:type="dxa"/>
          </w:tblCellMar>
        </w:tblPrEx>
        <w:trPr>
          <w:trHeight w:val="730" w:hRule="exact"/>
          <w:jc w:val="center"/>
        </w:trPr>
        <w:tc>
          <w:tcPr>
            <w:tcW w:w="3638" w:type="dxa"/>
            <w:noWrap w:val="0"/>
            <w:vAlign w:val="bottom"/>
          </w:tcPr>
          <w:p w14:paraId="30B0EFCC">
            <w:pPr>
              <w:ind w:right="140"/>
              <w:jc w:val="right"/>
              <w:rPr>
                <w:rFonts w:hint="eastAsia" w:ascii="宋体" w:hAnsi="宋体"/>
                <w:sz w:val="28"/>
                <w:szCs w:val="28"/>
              </w:rPr>
            </w:pPr>
            <w:r>
              <w:rPr>
                <w:rFonts w:hint="eastAsia" w:ascii="宋体" w:hAnsi="宋体"/>
                <w:sz w:val="28"/>
                <w:szCs w:val="28"/>
              </w:rPr>
              <w:t>乙方 (认证机构）：</w:t>
            </w:r>
          </w:p>
        </w:tc>
        <w:tc>
          <w:tcPr>
            <w:tcW w:w="4941" w:type="dxa"/>
            <w:tcBorders>
              <w:bottom w:val="single" w:color="auto" w:sz="4" w:space="0"/>
            </w:tcBorders>
            <w:noWrap w:val="0"/>
            <w:vAlign w:val="bottom"/>
          </w:tcPr>
          <w:p w14:paraId="2B5DD9A1">
            <w:pPr>
              <w:jc w:val="both"/>
              <w:rPr>
                <w:rFonts w:hint="eastAsia" w:ascii="宋体" w:hAnsi="宋体"/>
                <w:sz w:val="28"/>
                <w:szCs w:val="28"/>
              </w:rPr>
            </w:pPr>
            <w:r>
              <w:rPr>
                <w:rFonts w:hint="eastAsia"/>
                <w:color w:val="000000"/>
                <w:sz w:val="28"/>
                <w:szCs w:val="28"/>
                <w:lang w:val="en-US" w:eastAsia="zh-CN"/>
              </w:rPr>
              <w:t>天溯国际质量认证（深圳）有限公司</w:t>
            </w:r>
          </w:p>
        </w:tc>
      </w:tr>
    </w:tbl>
    <w:p w14:paraId="2BED76FF">
      <w:pPr>
        <w:rPr>
          <w:rFonts w:ascii="宋体" w:hAnsi="宋体"/>
          <w:sz w:val="28"/>
          <w:szCs w:val="28"/>
        </w:rPr>
      </w:pPr>
      <w:r>
        <w:rPr>
          <w:rFonts w:hint="eastAsia"/>
          <w:sz w:val="28"/>
          <w:szCs w:val="28"/>
        </w:rPr>
        <w:t xml:space="preserve">  </w:t>
      </w:r>
    </w:p>
    <w:p w14:paraId="494D112B">
      <w:pPr>
        <w:ind w:firstLine="1620"/>
        <w:rPr>
          <w:rFonts w:hint="eastAsia" w:ascii="宋体" w:hAnsi="宋体"/>
          <w:bCs/>
          <w:color w:val="000000"/>
          <w:szCs w:val="21"/>
        </w:rPr>
      </w:pPr>
    </w:p>
    <w:p w14:paraId="4F11F7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p>
    <w:p w14:paraId="068196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乙方作为独立的第三方认证机构,接受甲方的申请,依据国家相关法律法规、中国国家认证认可监督管理委员会（以下简称“CNCA”）、中国合格评定国家认可委员会（以下简称“CNAS”）、中国认证认可协会（以下简称“CCAA”）等制定的相关标准、认可规范，以及乙方的公开性文件,对甲方申请认证的管理体系是否符合要求实施独立客观的审核,并做出认证决定。</w:t>
      </w:r>
    </w:p>
    <w:p w14:paraId="6920C6AC">
      <w:pPr>
        <w:keepNext w:val="0"/>
        <w:keepLines w:val="0"/>
        <w:pageBreakBefore w:val="0"/>
        <w:widowControl w:val="0"/>
        <w:kinsoku/>
        <w:wordWrap/>
        <w:overflowPunct/>
        <w:topLinePunct w:val="0"/>
        <w:bidi w:val="0"/>
        <w:adjustRightInd w:val="0"/>
        <w:snapToGrid w:val="0"/>
        <w:spacing w:line="360" w:lineRule="auto"/>
        <w:ind w:left="0" w:leftChars="0" w:firstLine="450"/>
        <w:textAlignment w:val="auto"/>
        <w:rPr>
          <w:rFonts w:hint="eastAsia" w:ascii="宋体" w:hAnsi="宋体"/>
          <w:sz w:val="21"/>
          <w:szCs w:val="21"/>
        </w:rPr>
      </w:pPr>
      <w:r>
        <w:rPr>
          <w:rFonts w:hint="eastAsia" w:ascii="宋体" w:hAnsi="宋体"/>
          <w:sz w:val="21"/>
          <w:szCs w:val="21"/>
        </w:rPr>
        <w:t xml:space="preserve">为此,双方约定如下： </w:t>
      </w:r>
    </w:p>
    <w:p w14:paraId="4017128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left="0" w:lef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 甲方作如下陈述,对其陈述的真实性、合法性和完整性负责</w:t>
      </w:r>
    </w:p>
    <w:p w14:paraId="28934CF6">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rPr>
      </w:pPr>
      <w:r>
        <w:rPr>
          <w:rFonts w:hint="eastAsia" w:ascii="宋体" w:hAnsi="宋体"/>
          <w:sz w:val="21"/>
          <w:szCs w:val="21"/>
        </w:rPr>
        <w:t>1.1 甲方向乙方提交认证申请时已经通过乙方的网站http://rz.tiansu.org</w:t>
      </w:r>
      <w:r>
        <w:rPr>
          <w:rFonts w:hint="eastAsia" w:ascii="宋体" w:hAnsi="宋体"/>
          <w:sz w:val="21"/>
          <w:szCs w:val="21"/>
          <w:lang w:val="en-US" w:eastAsia="zh-CN"/>
        </w:rPr>
        <w:t xml:space="preserve"> </w:t>
      </w:r>
      <w:r>
        <w:rPr>
          <w:rFonts w:hint="eastAsia" w:ascii="宋体" w:hAnsi="宋体"/>
          <w:sz w:val="21"/>
          <w:szCs w:val="21"/>
        </w:rPr>
        <w:t>阅读、知晓了乙方的公开性文件的全部内容；甲方确认乙方的公开性文件的全部内容是本认证合同签订、执行的依据，是本合同不可分割的部分，与本合同拥有同等法律效力。</w:t>
      </w:r>
    </w:p>
    <w:p w14:paraId="4E21720A">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rPr>
      </w:pPr>
    </w:p>
    <w:p w14:paraId="13DB3ECA">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r>
        <w:rPr>
          <w:rFonts w:hint="eastAsia" w:ascii="宋体" w:hAnsi="宋体"/>
          <w:sz w:val="21"/>
          <w:szCs w:val="21"/>
        </w:rPr>
        <w:t>1.2 甲方名称：</w:t>
      </w:r>
      <w:r>
        <w:rPr>
          <w:rFonts w:hint="eastAsia" w:ascii="宋体" w:hAnsi="宋体"/>
          <w:sz w:val="21"/>
          <w:szCs w:val="21"/>
          <w:u w:val="single"/>
        </w:rPr>
        <w:t xml:space="preserve">                                                                                    </w:t>
      </w:r>
    </w:p>
    <w:p w14:paraId="12F0C59C">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p>
    <w:p w14:paraId="341ADE71">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lang w:val="en-US" w:eastAsia="zh-CN"/>
        </w:rPr>
      </w:pPr>
      <w:r>
        <w:rPr>
          <w:rFonts w:hint="eastAsia" w:ascii="宋体" w:hAnsi="宋体"/>
          <w:sz w:val="21"/>
          <w:szCs w:val="21"/>
        </w:rPr>
        <w:t>1.3 甲方确定认证涉及的区域、场所：</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p>
    <w:p w14:paraId="2A0D5042">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default" w:ascii="宋体" w:hAnsi="宋体"/>
          <w:sz w:val="21"/>
          <w:szCs w:val="21"/>
          <w:u w:val="single"/>
          <w:lang w:val="en-US" w:eastAsia="zh-CN"/>
        </w:rPr>
      </w:pPr>
    </w:p>
    <w:p w14:paraId="6B540BC5">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r>
        <w:rPr>
          <w:rFonts w:hint="eastAsia" w:ascii="宋体" w:hAnsi="宋体"/>
          <w:sz w:val="21"/>
          <w:szCs w:val="21"/>
          <w:u w:val="single"/>
        </w:rPr>
        <w:t xml:space="preserve">                                                                                                  </w:t>
      </w:r>
    </w:p>
    <w:p w14:paraId="4D382D2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p>
    <w:p w14:paraId="5BB7218A">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r>
        <w:rPr>
          <w:rFonts w:hint="eastAsia" w:ascii="宋体" w:hAnsi="宋体"/>
          <w:sz w:val="21"/>
          <w:szCs w:val="21"/>
        </w:rPr>
        <w:t>1.4 申请的认证范围（证书上的认证范围以乙方审核后确定的范围为准)：</w:t>
      </w:r>
      <w:r>
        <w:rPr>
          <w:rFonts w:hint="eastAsia" w:ascii="宋体" w:hAnsi="宋体"/>
          <w:sz w:val="21"/>
          <w:szCs w:val="21"/>
          <w:u w:val="single"/>
        </w:rPr>
        <w:t xml:space="preserve">                                    </w:t>
      </w:r>
    </w:p>
    <w:p w14:paraId="311C049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p>
    <w:p w14:paraId="1A29C7A2">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r>
        <w:rPr>
          <w:rFonts w:hint="eastAsia" w:ascii="宋体" w:hAnsi="宋体"/>
          <w:sz w:val="21"/>
          <w:szCs w:val="21"/>
          <w:u w:val="single"/>
        </w:rPr>
        <w:t xml:space="preserve">                                                                                                      </w:t>
      </w:r>
    </w:p>
    <w:p w14:paraId="0DD42C19">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p>
    <w:p w14:paraId="21E194D6">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1.5 甲方委托认证的区域、领域、产品和内容符合相关法律法规的证明文件：</w:t>
      </w:r>
    </w:p>
    <w:p w14:paraId="51924300">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p>
    <w:p w14:paraId="5B01B1FC">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r>
        <w:rPr>
          <w:rFonts w:hint="eastAsia" w:ascii="宋体" w:hAnsi="宋体"/>
          <w:sz w:val="21"/>
          <w:szCs w:val="21"/>
          <w:u w:val="single"/>
        </w:rPr>
        <w:t xml:space="preserve">                                                                                                      </w:t>
      </w:r>
    </w:p>
    <w:p w14:paraId="56F20F27">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p>
    <w:p w14:paraId="786F364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1.6 甲方管理体系认证范围内覆盖的总人数为</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人。总人数是指体系认证范围内的所有人员，包括季节性、临时和分包的人员。</w:t>
      </w:r>
    </w:p>
    <w:p w14:paraId="600015E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left="0" w:lef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 甲方申请认证的管理体系及审核类型</w:t>
      </w:r>
    </w:p>
    <w:p w14:paraId="52290C9E">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2.1 申请认证体系：</w:t>
      </w:r>
    </w:p>
    <w:p w14:paraId="19EE0FD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ascii="宋体" w:hAnsi="宋体"/>
          <w:sz w:val="21"/>
          <w:szCs w:val="21"/>
        </w:rPr>
      </w:pPr>
      <w:r>
        <w:rPr>
          <w:rFonts w:hint="eastAsia" w:ascii="宋体"/>
          <w:sz w:val="21"/>
          <w:szCs w:val="21"/>
        </w:rPr>
        <w:sym w:font="Wingdings 2" w:char="00A3"/>
      </w:r>
      <w:r>
        <w:rPr>
          <w:rFonts w:hint="eastAsia" w:ascii="宋体" w:hAnsi="宋体"/>
          <w:sz w:val="21"/>
          <w:szCs w:val="21"/>
        </w:rPr>
        <w:t>质量管理体系（</w:t>
      </w:r>
      <w:r>
        <w:rPr>
          <w:rFonts w:hint="eastAsia" w:ascii="宋体" w:hAnsi="宋体" w:eastAsia="宋体" w:cs="宋体"/>
          <w:b w:val="0"/>
          <w:bCs w:val="0"/>
          <w:u w:val="none"/>
        </w:rPr>
        <w:t>GB/T19001-2016 /ISO9001</w:t>
      </w:r>
      <w:r>
        <w:rPr>
          <w:rFonts w:hint="eastAsia" w:ascii="宋体" w:hAnsi="宋体" w:cs="宋体"/>
          <w:b w:val="0"/>
          <w:bCs w:val="0"/>
          <w:u w:val="none"/>
          <w:lang w:val="en-US" w:eastAsia="zh-CN"/>
        </w:rPr>
        <w:t>:</w:t>
      </w:r>
      <w:r>
        <w:rPr>
          <w:rFonts w:hint="eastAsia" w:ascii="宋体" w:hAnsi="宋体" w:eastAsia="宋体" w:cs="宋体"/>
          <w:b w:val="0"/>
          <w:bCs w:val="0"/>
          <w:u w:val="none"/>
        </w:rPr>
        <w:t>2015</w:t>
      </w:r>
      <w:r>
        <w:rPr>
          <w:rFonts w:hint="eastAsia" w:ascii="宋体" w:hAnsi="宋体"/>
          <w:sz w:val="21"/>
          <w:szCs w:val="21"/>
        </w:rPr>
        <w:t xml:space="preserve">） </w:t>
      </w:r>
      <w:r>
        <w:rPr>
          <w:rFonts w:ascii="宋体" w:hAnsi="宋体"/>
          <w:sz w:val="21"/>
          <w:szCs w:val="21"/>
        </w:rPr>
        <w:t xml:space="preserve"> </w:t>
      </w:r>
    </w:p>
    <w:p w14:paraId="3011DBF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sz w:val="21"/>
          <w:szCs w:val="21"/>
        </w:rPr>
      </w:pPr>
      <w:r>
        <w:rPr>
          <w:rFonts w:hint="eastAsia" w:ascii="宋体"/>
          <w:sz w:val="21"/>
          <w:szCs w:val="21"/>
        </w:rPr>
        <w:sym w:font="Wingdings 2" w:char="00A3"/>
      </w:r>
      <w:r>
        <w:rPr>
          <w:rFonts w:hint="eastAsia" w:ascii="宋体" w:hAnsi="宋体"/>
          <w:sz w:val="21"/>
          <w:szCs w:val="21"/>
        </w:rPr>
        <w:t>环境管理体系</w:t>
      </w:r>
      <w:r>
        <w:rPr>
          <w:rFonts w:hint="eastAsia" w:ascii="宋体" w:hAnsi="宋体"/>
          <w:sz w:val="21"/>
          <w:szCs w:val="21"/>
          <w:lang w:eastAsia="zh-CN"/>
        </w:rPr>
        <w:t>（</w:t>
      </w:r>
      <w:r>
        <w:rPr>
          <w:rFonts w:hint="eastAsia" w:ascii="宋体" w:hAnsi="宋体" w:eastAsia="宋体" w:cs="宋体"/>
          <w:b w:val="0"/>
          <w:bCs w:val="0"/>
          <w:u w:val="none"/>
          <w:lang w:val="de-DE"/>
        </w:rPr>
        <w:t>GB/T24001-2016/ISO14001</w:t>
      </w:r>
      <w:r>
        <w:rPr>
          <w:rFonts w:hint="eastAsia" w:ascii="宋体" w:hAnsi="宋体" w:cs="宋体"/>
          <w:b w:val="0"/>
          <w:bCs w:val="0"/>
          <w:u w:val="none"/>
          <w:lang w:val="en-US" w:eastAsia="zh-CN"/>
        </w:rPr>
        <w:t>:</w:t>
      </w:r>
      <w:r>
        <w:rPr>
          <w:rFonts w:hint="eastAsia" w:ascii="宋体" w:hAnsi="宋体" w:eastAsia="宋体" w:cs="宋体"/>
          <w:b w:val="0"/>
          <w:bCs w:val="0"/>
          <w:u w:val="none"/>
          <w:lang w:val="de-DE"/>
        </w:rPr>
        <w:t>2015</w:t>
      </w:r>
      <w:r>
        <w:rPr>
          <w:rFonts w:hint="eastAsia" w:ascii="宋体" w:hAnsi="宋体" w:cs="宋体"/>
          <w:b w:val="0"/>
          <w:bCs w:val="0"/>
          <w:u w:val="none"/>
          <w:lang w:val="de-DE" w:eastAsia="zh-CN"/>
        </w:rPr>
        <w:t>）</w:t>
      </w:r>
      <w:r>
        <w:rPr>
          <w:rFonts w:hint="eastAsia" w:ascii="宋体" w:hAnsi="宋体"/>
          <w:sz w:val="21"/>
          <w:szCs w:val="21"/>
        </w:rPr>
        <w:t xml:space="preserve"> </w:t>
      </w:r>
    </w:p>
    <w:p w14:paraId="0B29D2D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105" w:firstLineChars="50"/>
        <w:textAlignment w:val="auto"/>
        <w:rPr>
          <w:rFonts w:ascii="宋体" w:hAnsi="宋体"/>
          <w:sz w:val="21"/>
          <w:szCs w:val="21"/>
        </w:rPr>
      </w:pPr>
      <w:r>
        <w:rPr>
          <w:rFonts w:hint="eastAsia" w:ascii="宋体" w:hAnsi="宋体"/>
          <w:sz w:val="21"/>
          <w:szCs w:val="21"/>
        </w:rPr>
        <w:t xml:space="preserve">   </w:t>
      </w:r>
      <w:r>
        <w:rPr>
          <w:rFonts w:hint="eastAsia" w:ascii="宋体"/>
          <w:sz w:val="21"/>
          <w:szCs w:val="21"/>
        </w:rPr>
        <w:sym w:font="Wingdings 2" w:char="00A3"/>
      </w:r>
      <w:r>
        <w:rPr>
          <w:rFonts w:hint="eastAsia" w:ascii="宋体" w:hAnsi="宋体"/>
          <w:sz w:val="21"/>
          <w:szCs w:val="21"/>
        </w:rPr>
        <w:t>职业健康安全管理体系</w:t>
      </w:r>
      <w:r>
        <w:rPr>
          <w:rFonts w:hint="eastAsia" w:ascii="宋体" w:hAnsi="宋体"/>
          <w:sz w:val="21"/>
          <w:szCs w:val="21"/>
          <w:lang w:eastAsia="zh-CN"/>
        </w:rPr>
        <w:t>（</w:t>
      </w:r>
      <w:r>
        <w:rPr>
          <w:rFonts w:hint="eastAsia" w:ascii="宋体" w:hAnsi="宋体" w:eastAsia="宋体" w:cs="宋体"/>
          <w:b w:val="0"/>
          <w:bCs w:val="0"/>
          <w:szCs w:val="21"/>
          <w:u w:val="none"/>
          <w:lang w:val="de-DE"/>
        </w:rPr>
        <w:t>GB/T</w:t>
      </w:r>
      <w:r>
        <w:rPr>
          <w:rFonts w:hint="eastAsia" w:ascii="宋体" w:hAnsi="宋体" w:eastAsia="宋体" w:cs="宋体"/>
          <w:b w:val="0"/>
          <w:bCs w:val="0"/>
          <w:szCs w:val="21"/>
          <w:u w:val="none"/>
        </w:rPr>
        <w:t>45</w:t>
      </w:r>
      <w:r>
        <w:rPr>
          <w:rFonts w:hint="eastAsia" w:ascii="宋体" w:hAnsi="宋体" w:eastAsia="宋体" w:cs="宋体"/>
          <w:b w:val="0"/>
          <w:bCs w:val="0"/>
          <w:szCs w:val="21"/>
          <w:u w:val="none"/>
          <w:lang w:val="de-DE"/>
        </w:rPr>
        <w:t>001-20</w:t>
      </w:r>
      <w:r>
        <w:rPr>
          <w:rFonts w:hint="eastAsia" w:ascii="宋体" w:hAnsi="宋体" w:eastAsia="宋体" w:cs="宋体"/>
          <w:b w:val="0"/>
          <w:bCs w:val="0"/>
          <w:szCs w:val="21"/>
          <w:u w:val="none"/>
        </w:rPr>
        <w:t>20</w:t>
      </w:r>
      <w:r>
        <w:rPr>
          <w:rFonts w:hint="eastAsia" w:ascii="宋体" w:hAnsi="宋体" w:eastAsia="宋体" w:cs="宋体"/>
          <w:b w:val="0"/>
          <w:bCs w:val="0"/>
          <w:szCs w:val="21"/>
          <w:u w:val="none"/>
          <w:lang w:val="de-DE"/>
        </w:rPr>
        <w:t>/ISO45001</w:t>
      </w:r>
      <w:r>
        <w:rPr>
          <w:rFonts w:hint="eastAsia" w:ascii="宋体" w:hAnsi="宋体" w:cs="宋体"/>
          <w:b w:val="0"/>
          <w:bCs w:val="0"/>
          <w:szCs w:val="21"/>
          <w:u w:val="none"/>
          <w:lang w:val="en-US" w:eastAsia="zh-CN"/>
        </w:rPr>
        <w:t>:</w:t>
      </w:r>
      <w:r>
        <w:rPr>
          <w:rFonts w:hint="eastAsia" w:ascii="宋体" w:hAnsi="宋体" w:eastAsia="宋体" w:cs="宋体"/>
          <w:b w:val="0"/>
          <w:bCs w:val="0"/>
          <w:szCs w:val="21"/>
          <w:u w:val="none"/>
          <w:lang w:val="de-DE"/>
        </w:rPr>
        <w:t>2018</w:t>
      </w:r>
      <w:r>
        <w:rPr>
          <w:rFonts w:hint="eastAsia" w:ascii="宋体" w:hAnsi="宋体" w:cs="宋体"/>
          <w:b w:val="0"/>
          <w:bCs w:val="0"/>
          <w:szCs w:val="21"/>
          <w:u w:val="none"/>
          <w:lang w:val="de-DE" w:eastAsia="zh-CN"/>
        </w:rPr>
        <w:t>）</w:t>
      </w:r>
      <w:r>
        <w:rPr>
          <w:rFonts w:ascii="宋体" w:hAnsi="宋体"/>
          <w:sz w:val="21"/>
          <w:szCs w:val="21"/>
        </w:rPr>
        <w:t xml:space="preserve"> </w:t>
      </w:r>
    </w:p>
    <w:p w14:paraId="37A0DFE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sz w:val="21"/>
          <w:szCs w:val="21"/>
          <w:lang w:val="en-US" w:eastAsia="zh-CN"/>
        </w:rPr>
      </w:pPr>
      <w:r>
        <w:rPr>
          <w:rFonts w:hint="eastAsia" w:ascii="宋体"/>
          <w:sz w:val="21"/>
          <w:szCs w:val="21"/>
        </w:rPr>
        <w:sym w:font="Wingdings 2" w:char="00A3"/>
      </w:r>
      <w:r>
        <w:rPr>
          <w:rFonts w:hint="eastAsia" w:ascii="宋体" w:hAnsi="宋体"/>
          <w:sz w:val="21"/>
          <w:szCs w:val="21"/>
          <w:lang w:val="en-US" w:eastAsia="zh-CN"/>
        </w:rPr>
        <w:t>其他认证（                 )</w:t>
      </w:r>
    </w:p>
    <w:p w14:paraId="33D619A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bCs/>
          <w:sz w:val="21"/>
          <w:szCs w:val="21"/>
        </w:rPr>
      </w:pPr>
      <w:r>
        <w:rPr>
          <w:rFonts w:hint="eastAsia" w:ascii="宋体" w:hAnsi="宋体"/>
          <w:sz w:val="21"/>
          <w:szCs w:val="21"/>
        </w:rPr>
        <w:t>2.2 审 核 类 型：</w:t>
      </w:r>
      <w:r>
        <w:rPr>
          <w:rFonts w:hint="eastAsia" w:ascii="宋体" w:hAnsi="宋体"/>
          <w:b/>
          <w:sz w:val="21"/>
          <w:szCs w:val="21"/>
        </w:rPr>
        <w:t xml:space="preserve"> </w:t>
      </w:r>
      <w:r>
        <w:rPr>
          <w:rFonts w:hint="eastAsia" w:ascii="宋体"/>
          <w:sz w:val="21"/>
          <w:szCs w:val="21"/>
        </w:rPr>
        <w:sym w:font="Wingdings 2" w:char="00A3"/>
      </w:r>
      <w:r>
        <w:rPr>
          <w:rFonts w:hint="eastAsia" w:ascii="宋体" w:hAnsi="宋体"/>
          <w:sz w:val="21"/>
          <w:szCs w:val="21"/>
        </w:rPr>
        <w:t>初次认证审核</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sz w:val="21"/>
          <w:szCs w:val="21"/>
        </w:rPr>
        <w:sym w:font="Wingdings 2" w:char="00A3"/>
      </w:r>
      <w:r>
        <w:rPr>
          <w:rFonts w:hint="eastAsia" w:ascii="宋体" w:hAnsi="宋体"/>
          <w:sz w:val="21"/>
          <w:szCs w:val="21"/>
        </w:rPr>
        <w:t xml:space="preserve">监督审核  </w:t>
      </w:r>
      <w:r>
        <w:rPr>
          <w:rFonts w:hint="eastAsia" w:ascii="宋体"/>
          <w:sz w:val="21"/>
          <w:szCs w:val="21"/>
        </w:rPr>
        <w:sym w:font="Wingdings 2" w:char="00A3"/>
      </w:r>
      <w:r>
        <w:rPr>
          <w:rFonts w:hint="eastAsia" w:ascii="宋体" w:hAnsi="宋体"/>
          <w:sz w:val="21"/>
          <w:szCs w:val="21"/>
        </w:rPr>
        <w:t xml:space="preserve">特殊审核   </w:t>
      </w:r>
      <w:r>
        <w:rPr>
          <w:rFonts w:hint="eastAsia" w:ascii="宋体"/>
          <w:sz w:val="21"/>
          <w:szCs w:val="21"/>
        </w:rPr>
        <w:sym w:font="Wingdings 2" w:char="00A3"/>
      </w:r>
      <w:r>
        <w:rPr>
          <w:rFonts w:hint="eastAsia" w:ascii="宋体" w:hAnsi="宋体"/>
          <w:sz w:val="21"/>
          <w:szCs w:val="21"/>
        </w:rPr>
        <w:t xml:space="preserve">再认证审核 </w:t>
      </w:r>
    </w:p>
    <w:p w14:paraId="33ADFE1A">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bCs/>
          <w:sz w:val="21"/>
          <w:szCs w:val="21"/>
        </w:rPr>
      </w:pPr>
      <w:r>
        <w:rPr>
          <w:rFonts w:hint="eastAsia" w:ascii="宋体" w:hAnsi="宋体"/>
          <w:bCs/>
          <w:sz w:val="21"/>
          <w:szCs w:val="21"/>
        </w:rPr>
        <w:t>2.3 审核类型说明：</w:t>
      </w:r>
    </w:p>
    <w:p w14:paraId="723D7273">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2.3.</w:t>
      </w:r>
      <w:r>
        <w:rPr>
          <w:rFonts w:hint="eastAsia" w:ascii="宋体" w:hAnsi="宋体"/>
          <w:bCs/>
          <w:sz w:val="21"/>
          <w:szCs w:val="21"/>
        </w:rPr>
        <w:t>1 初次</w:t>
      </w:r>
      <w:r>
        <w:rPr>
          <w:rFonts w:hint="eastAsia" w:ascii="宋体" w:hAnsi="宋体"/>
          <w:sz w:val="21"/>
          <w:szCs w:val="21"/>
        </w:rPr>
        <w:t>认证审核：质量管理体系/环境管理体系/职业健康安全管理体系的初次认证审核，按国家认可规范要求必须分为两个阶段进行，分别称为第一阶段审核，第二阶段审核。</w:t>
      </w:r>
    </w:p>
    <w:p w14:paraId="69527CF1">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color w:val="00B0F0"/>
          <w:sz w:val="21"/>
          <w:szCs w:val="21"/>
        </w:rPr>
      </w:pPr>
      <w:r>
        <w:rPr>
          <w:rFonts w:hint="eastAsia" w:ascii="宋体" w:hAnsi="宋体"/>
          <w:sz w:val="21"/>
          <w:szCs w:val="21"/>
        </w:rPr>
        <w:t>2.3.2 监督审核：甲方</w:t>
      </w:r>
      <w:r>
        <w:rPr>
          <w:rFonts w:hint="eastAsia" w:ascii="宋体" w:hAnsi="宋体" w:cs="宋体"/>
          <w:sz w:val="21"/>
          <w:szCs w:val="21"/>
        </w:rPr>
        <w:t>获准认证注册后，认证证书有效期为三年。证书有效期内，甲方应接受</w:t>
      </w:r>
      <w:r>
        <w:rPr>
          <w:rFonts w:hint="eastAsia" w:ascii="宋体" w:hAnsi="宋体"/>
          <w:sz w:val="21"/>
          <w:szCs w:val="21"/>
        </w:rPr>
        <w:t>乙方至少</w:t>
      </w:r>
      <w:r>
        <w:rPr>
          <w:rFonts w:hint="eastAsia" w:ascii="宋体" w:hAnsi="宋体" w:cs="宋体"/>
          <w:sz w:val="21"/>
          <w:szCs w:val="21"/>
        </w:rPr>
        <w:t>两次现场监督审核（高危和特殊行业须增加监督审核次数），</w:t>
      </w:r>
      <w:r>
        <w:rPr>
          <w:rFonts w:hint="eastAsia" w:ascii="宋体" w:hAnsi="宋体" w:eastAsia="宋体" w:cs="宋体"/>
          <w:color w:val="auto"/>
          <w:sz w:val="21"/>
          <w:szCs w:val="21"/>
          <w:lang w:val="en-US" w:eastAsia="zh-CN"/>
        </w:rPr>
        <w:t>初次认证后的第一次监督审核应在认证决定的日期起的12个月内进行，第二次监督审核应在初次认证后认证决定的日期起的24个月内进行</w:t>
      </w:r>
      <w:r>
        <w:rPr>
          <w:rFonts w:hint="eastAsia" w:ascii="宋体" w:hAnsi="宋体" w:cs="宋体"/>
          <w:sz w:val="21"/>
          <w:szCs w:val="21"/>
        </w:rPr>
        <w:t>。超过期限而未能实施监督审核的，按照暂停、撤销条款处理。</w:t>
      </w:r>
    </w:p>
    <w:p w14:paraId="4A5F9FF0">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2.3.3 特殊审核：乙方在下列情况出现时，甲方须接受乙方的特殊审核：</w:t>
      </w:r>
    </w:p>
    <w:p w14:paraId="76409070">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2.3.3.1 扩大认证范围（可结合监督审核同时进行）；</w:t>
      </w:r>
    </w:p>
    <w:p w14:paraId="5778D884">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2.3.3.2 乙方为调查投诉时；</w:t>
      </w:r>
    </w:p>
    <w:p w14:paraId="199A9812">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2.3.3.3 乙方对被暂停的甲方证书进行追踪时。</w:t>
      </w:r>
    </w:p>
    <w:p w14:paraId="24BD2773">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2.3.4 再认证审核：</w:t>
      </w:r>
    </w:p>
    <w:p w14:paraId="02B8510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20" w:firstLineChars="200"/>
        <w:textAlignment w:val="auto"/>
        <w:rPr>
          <w:rFonts w:hint="eastAsia" w:ascii="宋体" w:hAnsi="宋体"/>
          <w:sz w:val="21"/>
          <w:szCs w:val="21"/>
        </w:rPr>
      </w:pPr>
      <w:r>
        <w:rPr>
          <w:rFonts w:ascii="宋体" w:hAnsi="宋体"/>
          <w:sz w:val="21"/>
          <w:szCs w:val="21"/>
        </w:rPr>
        <w:t>在认证证书有效期截至日前的三个月内</w:t>
      </w:r>
      <w:r>
        <w:rPr>
          <w:rFonts w:hint="eastAsia" w:ascii="宋体" w:hAnsi="宋体"/>
          <w:sz w:val="21"/>
          <w:szCs w:val="21"/>
        </w:rPr>
        <w:t>乙方须对甲方进行</w:t>
      </w:r>
      <w:r>
        <w:rPr>
          <w:rFonts w:ascii="宋体" w:hAnsi="宋体"/>
          <w:sz w:val="21"/>
          <w:szCs w:val="21"/>
        </w:rPr>
        <w:t>再认证审核</w:t>
      </w:r>
      <w:r>
        <w:rPr>
          <w:rFonts w:hint="eastAsia" w:ascii="宋体" w:hAnsi="宋体"/>
          <w:sz w:val="21"/>
          <w:szCs w:val="21"/>
        </w:rPr>
        <w:t>。当管理体系、获证组织或管理体系的运作环境（如法律的变更）有重大变更时，再认证审核活动可能需要有第一阶段审核。</w:t>
      </w:r>
    </w:p>
    <w:p w14:paraId="0180D69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20" w:firstLineChars="200"/>
        <w:textAlignment w:val="auto"/>
        <w:rPr>
          <w:rFonts w:hint="eastAsia" w:ascii="宋体" w:hAnsi="宋体"/>
          <w:sz w:val="21"/>
          <w:szCs w:val="21"/>
        </w:rPr>
      </w:pPr>
      <w:r>
        <w:rPr>
          <w:rFonts w:ascii="宋体" w:hAnsi="宋体"/>
          <w:sz w:val="21"/>
          <w:szCs w:val="21"/>
        </w:rPr>
        <w:t>再认证审核完成后，</w:t>
      </w:r>
      <w:r>
        <w:rPr>
          <w:rFonts w:hint="eastAsia" w:ascii="宋体" w:hAnsi="宋体"/>
          <w:sz w:val="21"/>
          <w:szCs w:val="21"/>
        </w:rPr>
        <w:t>新认证证书的认证起始日期和终止日期按照CNCA和CNAS的相关要求执行。</w:t>
      </w:r>
    </w:p>
    <w:p w14:paraId="543DB471">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2.3.5 补充审核：必要时，为验证甲方不符合项的纠正和纠正措施的有效性，甲方需接受由乙方实施的现场补充审核。</w:t>
      </w:r>
    </w:p>
    <w:p w14:paraId="656BEB55">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bCs/>
          <w:sz w:val="21"/>
          <w:szCs w:val="21"/>
        </w:rPr>
        <w:t>2.4</w:t>
      </w:r>
      <w:r>
        <w:rPr>
          <w:rFonts w:hint="eastAsia" w:ascii="宋体" w:hAnsi="宋体"/>
          <w:sz w:val="21"/>
          <w:szCs w:val="21"/>
        </w:rPr>
        <w:t xml:space="preserve"> </w:t>
      </w:r>
      <w:r>
        <w:rPr>
          <w:rFonts w:hint="eastAsia" w:ascii="宋体" w:hAnsi="宋体"/>
          <w:bCs/>
          <w:sz w:val="21"/>
          <w:szCs w:val="21"/>
        </w:rPr>
        <w:t>本合同设定的情况（特殊审核和补充审核）出现时，甲方必须接受增加的审核。</w:t>
      </w:r>
    </w:p>
    <w:p w14:paraId="4418A529">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 认证周期</w:t>
      </w:r>
    </w:p>
    <w:p w14:paraId="46A239DE">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3.1 一个认证周期一般为三年，通常包括如下活动：</w:t>
      </w:r>
    </w:p>
    <w:p w14:paraId="160ED4B5">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3.1.1 乙方对甲方的认证申请进行评审；</w:t>
      </w:r>
    </w:p>
    <w:p w14:paraId="6CC5AF23">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color w:val="FF0000"/>
          <w:sz w:val="21"/>
          <w:szCs w:val="21"/>
        </w:rPr>
      </w:pPr>
      <w:r>
        <w:rPr>
          <w:rFonts w:hint="eastAsia" w:ascii="宋体" w:hAnsi="宋体"/>
          <w:sz w:val="21"/>
          <w:szCs w:val="21"/>
        </w:rPr>
        <w:t>3.1.2 乙方对甲方实施初次认证审核；</w:t>
      </w:r>
    </w:p>
    <w:p w14:paraId="4B3BF4FF">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3.1.3 乙方批准甲方注册，为甲方颁发认证证书；</w:t>
      </w:r>
    </w:p>
    <w:p w14:paraId="540EE456">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3.1.4 乙方在证书有效期内对甲方至少实施两次现场监督审核；</w:t>
      </w:r>
    </w:p>
    <w:p w14:paraId="2C26E733">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3.1.5 乙方对甲方实施特殊审核（当条件具备时适用）；</w:t>
      </w:r>
    </w:p>
    <w:p w14:paraId="74DC5963">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3.1.6 乙方对甲方实施再认证审核（于证书三年有效期届满前90天内完成，甲乙双方需重新签订认证合同）。</w:t>
      </w:r>
    </w:p>
    <w:p w14:paraId="28D4FBE3">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r>
        <w:rPr>
          <w:rFonts w:hint="eastAsia" w:ascii="宋体" w:hAnsi="宋体"/>
          <w:sz w:val="21"/>
          <w:szCs w:val="21"/>
        </w:rPr>
        <w:t>3.2 甲方是否能获得乙方授予的认证证书以及是否能够保持该证书的有效性，取决于甲方现存的管理体系是否符合和持续符合相关的标准和要求。</w:t>
      </w:r>
    </w:p>
    <w:p w14:paraId="1FEBA989">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p>
    <w:p w14:paraId="7EC1D6A6">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p>
    <w:p w14:paraId="7B955EFE">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p>
    <w:p w14:paraId="673BC009">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p>
    <w:p w14:paraId="600B166F">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宋体" w:hAnsi="宋体"/>
          <w:sz w:val="21"/>
          <w:szCs w:val="21"/>
        </w:rPr>
      </w:pPr>
    </w:p>
    <w:p w14:paraId="489A9C9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left="0" w:leftChars="0"/>
        <w:textAlignment w:val="auto"/>
        <w:rPr>
          <w:rFonts w:hint="eastAsia" w:asciiTheme="minorEastAsia" w:hAnsiTheme="minorEastAsia" w:eastAsiaTheme="minorEastAsia" w:cstheme="minorEastAsia"/>
          <w:b/>
          <w:bCs/>
          <w:sz w:val="21"/>
          <w:szCs w:val="21"/>
        </w:rPr>
      </w:pPr>
    </w:p>
    <w:p w14:paraId="29D82CC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left="0" w:lef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4认证费用 </w:t>
      </w:r>
    </w:p>
    <w:tbl>
      <w:tblPr>
        <w:tblStyle w:val="8"/>
        <w:tblW w:w="1020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480"/>
        <w:gridCol w:w="1680"/>
        <w:gridCol w:w="1760"/>
        <w:gridCol w:w="2610"/>
      </w:tblGrid>
      <w:tr w14:paraId="717E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670" w:type="dxa"/>
            <w:vAlign w:val="center"/>
          </w:tcPr>
          <w:p w14:paraId="2366D881">
            <w:pPr>
              <w:tabs>
                <w:tab w:val="left" w:pos="420"/>
                <w:tab w:val="left" w:pos="840"/>
                <w:tab w:val="left" w:pos="1260"/>
                <w:tab w:val="left" w:pos="1680"/>
                <w:tab w:val="left" w:pos="2100"/>
                <w:tab w:val="left" w:pos="2520"/>
                <w:tab w:val="right" w:pos="8312"/>
              </w:tabs>
              <w:spacing w:line="240" w:lineRule="auto"/>
              <w:jc w:val="both"/>
              <w:rPr>
                <w:rFonts w:ascii="仿宋" w:hAnsi="仿宋" w:eastAsia="仿宋" w:cs="仿宋"/>
                <w:bCs/>
                <w:color w:val="000000"/>
                <w:sz w:val="24"/>
              </w:rPr>
            </w:pPr>
            <w:r>
              <w:rPr>
                <w:rFonts w:hint="eastAsia" w:ascii="仿宋" w:hAnsi="仿宋" w:eastAsia="仿宋" w:cs="仿宋"/>
                <w:b/>
                <w:bCs w:val="0"/>
                <w:color w:val="000000"/>
                <w:sz w:val="24"/>
              </w:rPr>
              <w:t>认证项目</w:t>
            </w:r>
          </w:p>
        </w:tc>
        <w:tc>
          <w:tcPr>
            <w:tcW w:w="1480" w:type="dxa"/>
            <w:vAlign w:val="center"/>
          </w:tcPr>
          <w:p w14:paraId="5D7CBE30">
            <w:pPr>
              <w:tabs>
                <w:tab w:val="left" w:pos="420"/>
                <w:tab w:val="left" w:pos="840"/>
                <w:tab w:val="left" w:pos="1260"/>
                <w:tab w:val="left" w:pos="1680"/>
                <w:tab w:val="left" w:pos="2100"/>
                <w:tab w:val="left" w:pos="2520"/>
                <w:tab w:val="right" w:pos="8312"/>
              </w:tabs>
              <w:jc w:val="center"/>
              <w:rPr>
                <w:rFonts w:hint="default"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QMS</w:t>
            </w:r>
          </w:p>
        </w:tc>
        <w:tc>
          <w:tcPr>
            <w:tcW w:w="1680" w:type="dxa"/>
            <w:vAlign w:val="center"/>
          </w:tcPr>
          <w:p w14:paraId="4DB678BD">
            <w:pPr>
              <w:tabs>
                <w:tab w:val="left" w:pos="420"/>
                <w:tab w:val="left" w:pos="840"/>
                <w:tab w:val="left" w:pos="1260"/>
                <w:tab w:val="left" w:pos="1680"/>
                <w:tab w:val="left" w:pos="2100"/>
                <w:tab w:val="left" w:pos="2520"/>
                <w:tab w:val="right" w:pos="8312"/>
              </w:tabs>
              <w:spacing w:line="360" w:lineRule="auto"/>
              <w:jc w:val="center"/>
              <w:rPr>
                <w:rFonts w:hint="default"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EMS</w:t>
            </w:r>
          </w:p>
        </w:tc>
        <w:tc>
          <w:tcPr>
            <w:tcW w:w="1760" w:type="dxa"/>
            <w:vAlign w:val="center"/>
          </w:tcPr>
          <w:p w14:paraId="4F2FC421">
            <w:pPr>
              <w:tabs>
                <w:tab w:val="left" w:pos="420"/>
                <w:tab w:val="left" w:pos="840"/>
                <w:tab w:val="left" w:pos="1260"/>
                <w:tab w:val="left" w:pos="1680"/>
                <w:tab w:val="left" w:pos="2100"/>
                <w:tab w:val="left" w:pos="2520"/>
                <w:tab w:val="right" w:pos="8312"/>
              </w:tabs>
              <w:jc w:val="center"/>
              <w:rPr>
                <w:rFonts w:hint="default"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OHSMS</w:t>
            </w:r>
          </w:p>
        </w:tc>
        <w:tc>
          <w:tcPr>
            <w:tcW w:w="2610" w:type="dxa"/>
            <w:vAlign w:val="center"/>
          </w:tcPr>
          <w:p w14:paraId="6BDD8281">
            <w:pPr>
              <w:tabs>
                <w:tab w:val="left" w:pos="420"/>
                <w:tab w:val="left" w:pos="840"/>
                <w:tab w:val="left" w:pos="1260"/>
                <w:tab w:val="left" w:pos="1680"/>
                <w:tab w:val="left" w:pos="2100"/>
                <w:tab w:val="left" w:pos="2520"/>
                <w:tab w:val="right" w:pos="8312"/>
              </w:tabs>
              <w:spacing w:line="360" w:lineRule="auto"/>
              <w:jc w:val="center"/>
              <w:rPr>
                <w:rFonts w:hint="default" w:ascii="仿宋" w:hAnsi="仿宋" w:eastAsia="仿宋" w:cs="仿宋"/>
                <w:b/>
                <w:bCs w:val="0"/>
                <w:color w:val="auto"/>
                <w:kern w:val="2"/>
                <w:sz w:val="21"/>
                <w:szCs w:val="21"/>
                <w:lang w:val="en-US" w:eastAsia="zh-CN" w:bidi="ar-SA"/>
              </w:rPr>
            </w:pPr>
            <w:r>
              <w:rPr>
                <w:rFonts w:hint="eastAsia" w:ascii="仿宋" w:hAnsi="仿宋" w:eastAsia="仿宋" w:cs="仿宋"/>
                <w:b/>
                <w:bCs w:val="0"/>
                <w:color w:val="auto"/>
                <w:sz w:val="21"/>
                <w:szCs w:val="21"/>
              </w:rPr>
              <w:t>费用合计</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元）</w:t>
            </w:r>
          </w:p>
        </w:tc>
      </w:tr>
      <w:tr w14:paraId="4185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2670" w:type="dxa"/>
            <w:vAlign w:val="center"/>
          </w:tcPr>
          <w:p w14:paraId="19C711C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sz w:val="21"/>
                <w:szCs w:val="21"/>
              </w:rPr>
            </w:pPr>
            <w:r>
              <w:rPr>
                <w:rFonts w:hint="eastAsia" w:ascii="宋体" w:hAnsi="宋体"/>
                <w:sz w:val="21"/>
                <w:szCs w:val="21"/>
              </w:rPr>
              <w:t>初次认证、审核费(含申请费、注册费）</w:t>
            </w:r>
          </w:p>
        </w:tc>
        <w:tc>
          <w:tcPr>
            <w:tcW w:w="1480" w:type="dxa"/>
            <w:vAlign w:val="center"/>
          </w:tcPr>
          <w:p w14:paraId="53933488">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lang w:val="en-US" w:eastAsia="zh-CN"/>
              </w:rPr>
            </w:pPr>
          </w:p>
        </w:tc>
        <w:tc>
          <w:tcPr>
            <w:tcW w:w="1680" w:type="dxa"/>
            <w:vAlign w:val="center"/>
          </w:tcPr>
          <w:p w14:paraId="50D17E23">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lang w:val="en-US" w:eastAsia="zh-CN"/>
              </w:rPr>
            </w:pPr>
          </w:p>
        </w:tc>
        <w:tc>
          <w:tcPr>
            <w:tcW w:w="1760" w:type="dxa"/>
            <w:vAlign w:val="center"/>
          </w:tcPr>
          <w:p w14:paraId="7F959097">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lang w:val="en-US" w:eastAsia="zh-CN"/>
              </w:rPr>
            </w:pPr>
          </w:p>
        </w:tc>
        <w:tc>
          <w:tcPr>
            <w:tcW w:w="2610" w:type="dxa"/>
            <w:vAlign w:val="center"/>
          </w:tcPr>
          <w:p w14:paraId="5B8968E0">
            <w:pPr>
              <w:tabs>
                <w:tab w:val="left" w:pos="840"/>
                <w:tab w:val="left" w:pos="1680"/>
                <w:tab w:val="left" w:pos="2520"/>
              </w:tabs>
              <w:spacing w:line="360" w:lineRule="auto"/>
              <w:jc w:val="center"/>
              <w:rPr>
                <w:rFonts w:hint="eastAsia" w:ascii="宋体" w:hAnsi="宋体" w:eastAsia="宋体" w:cs="宋体"/>
                <w:color w:val="000000"/>
                <w:sz w:val="21"/>
                <w:szCs w:val="21"/>
                <w:lang w:val="en-US" w:eastAsia="zh-CN"/>
              </w:rPr>
            </w:pPr>
          </w:p>
        </w:tc>
      </w:tr>
      <w:tr w14:paraId="2D7D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2670" w:type="dxa"/>
            <w:vAlign w:val="center"/>
          </w:tcPr>
          <w:p w14:paraId="45E6341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sz w:val="21"/>
                <w:szCs w:val="21"/>
              </w:rPr>
            </w:pPr>
            <w:r>
              <w:rPr>
                <w:rFonts w:hint="eastAsia" w:ascii="宋体" w:hAnsi="宋体"/>
                <w:sz w:val="21"/>
                <w:szCs w:val="21"/>
                <w:lang w:val="en-US" w:eastAsia="zh-CN"/>
              </w:rPr>
              <w:t>每年</w:t>
            </w:r>
            <w:r>
              <w:rPr>
                <w:rFonts w:hint="eastAsia" w:ascii="宋体" w:hAnsi="宋体"/>
                <w:sz w:val="21"/>
                <w:szCs w:val="21"/>
              </w:rPr>
              <w:t>监督审核费(含年金）</w:t>
            </w:r>
          </w:p>
        </w:tc>
        <w:tc>
          <w:tcPr>
            <w:tcW w:w="1480" w:type="dxa"/>
            <w:vAlign w:val="center"/>
          </w:tcPr>
          <w:p w14:paraId="17BB9389">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rPr>
            </w:pPr>
          </w:p>
        </w:tc>
        <w:tc>
          <w:tcPr>
            <w:tcW w:w="1680" w:type="dxa"/>
            <w:vAlign w:val="center"/>
          </w:tcPr>
          <w:p w14:paraId="7A134468">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lang w:val="en-US" w:eastAsia="zh-CN"/>
              </w:rPr>
            </w:pPr>
          </w:p>
        </w:tc>
        <w:tc>
          <w:tcPr>
            <w:tcW w:w="1760" w:type="dxa"/>
            <w:vAlign w:val="center"/>
          </w:tcPr>
          <w:p w14:paraId="3B10ED5D">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lang w:val="en-US" w:eastAsia="zh-CN"/>
              </w:rPr>
            </w:pPr>
          </w:p>
        </w:tc>
        <w:tc>
          <w:tcPr>
            <w:tcW w:w="2610" w:type="dxa"/>
            <w:vAlign w:val="center"/>
          </w:tcPr>
          <w:p w14:paraId="6A2F8FA3">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color w:val="000000"/>
                <w:sz w:val="21"/>
                <w:szCs w:val="21"/>
                <w:lang w:val="en-US" w:eastAsia="zh-CN"/>
              </w:rPr>
            </w:pPr>
          </w:p>
        </w:tc>
      </w:tr>
      <w:tr w14:paraId="4C21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670" w:type="dxa"/>
            <w:vAlign w:val="center"/>
          </w:tcPr>
          <w:p w14:paraId="669097D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sz w:val="21"/>
                <w:szCs w:val="21"/>
              </w:rPr>
            </w:pPr>
            <w:r>
              <w:rPr>
                <w:rFonts w:hint="eastAsia" w:ascii="宋体" w:hAnsi="宋体"/>
                <w:sz w:val="21"/>
                <w:szCs w:val="21"/>
              </w:rPr>
              <w:t>再认证、审核费(含申请费、注册费）</w:t>
            </w:r>
          </w:p>
        </w:tc>
        <w:tc>
          <w:tcPr>
            <w:tcW w:w="1480" w:type="dxa"/>
            <w:vAlign w:val="center"/>
          </w:tcPr>
          <w:p w14:paraId="4E348AC3">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rPr>
            </w:pPr>
          </w:p>
        </w:tc>
        <w:tc>
          <w:tcPr>
            <w:tcW w:w="1680" w:type="dxa"/>
            <w:vAlign w:val="center"/>
          </w:tcPr>
          <w:p w14:paraId="65128C8C">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rPr>
            </w:pPr>
          </w:p>
        </w:tc>
        <w:tc>
          <w:tcPr>
            <w:tcW w:w="1760" w:type="dxa"/>
            <w:vAlign w:val="center"/>
          </w:tcPr>
          <w:p w14:paraId="57134495">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bCs/>
                <w:color w:val="000000"/>
                <w:sz w:val="21"/>
                <w:szCs w:val="21"/>
              </w:rPr>
            </w:pPr>
          </w:p>
        </w:tc>
        <w:tc>
          <w:tcPr>
            <w:tcW w:w="2610" w:type="dxa"/>
            <w:vAlign w:val="center"/>
          </w:tcPr>
          <w:p w14:paraId="7D835421">
            <w:pPr>
              <w:tabs>
                <w:tab w:val="left" w:pos="420"/>
                <w:tab w:val="left" w:pos="840"/>
                <w:tab w:val="left" w:pos="1260"/>
                <w:tab w:val="left" w:pos="1680"/>
                <w:tab w:val="left" w:pos="2100"/>
                <w:tab w:val="left" w:pos="2520"/>
                <w:tab w:val="right" w:pos="8312"/>
              </w:tabs>
              <w:spacing w:line="360" w:lineRule="auto"/>
              <w:jc w:val="center"/>
              <w:rPr>
                <w:rFonts w:hint="eastAsia" w:ascii="宋体" w:hAnsi="宋体" w:eastAsia="宋体" w:cs="宋体"/>
                <w:color w:val="000000"/>
                <w:sz w:val="21"/>
                <w:szCs w:val="21"/>
              </w:rPr>
            </w:pPr>
          </w:p>
        </w:tc>
      </w:tr>
    </w:tbl>
    <w:p w14:paraId="66A17ED4">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1</w:t>
      </w:r>
      <w:r>
        <w:rPr>
          <w:rFonts w:hint="eastAsia" w:ascii="宋体" w:hAnsi="宋体"/>
          <w:sz w:val="21"/>
          <w:szCs w:val="21"/>
        </w:rPr>
        <w:t xml:space="preserve"> 在认证审核过程中发现甲方实际员工人数与《体系认证申请书》填写的员工人数存在较大差异致使审核工作量发生变化时，当甲方的经营规模或者员工人数或者认证范围等发生变化时，乙方有权按照相关认可规范、国家计委《质量体系认证收费标准》计价格（1999）212号文件和国家计委、国家质量技术监督局《关于印发产品质量认证收费办法和收费标准的通知》计价格（1999）1610号文件的规定对审核人日和审核费进行调整。</w:t>
      </w:r>
    </w:p>
    <w:p w14:paraId="1CD21AA3">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2</w:t>
      </w:r>
      <w:r>
        <w:rPr>
          <w:rFonts w:hint="eastAsia" w:ascii="宋体" w:hAnsi="宋体"/>
          <w:sz w:val="21"/>
          <w:szCs w:val="21"/>
        </w:rPr>
        <w:t xml:space="preserve"> 任何依据本合同增加的审核，甲方应承担审核费用。</w:t>
      </w:r>
    </w:p>
    <w:p w14:paraId="0ACCD927">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lang w:val="en-US" w:eastAsia="zh-CN"/>
        </w:rPr>
        <w:t>3</w:t>
      </w:r>
      <w:r>
        <w:rPr>
          <w:rFonts w:hint="eastAsia" w:ascii="宋体" w:hAnsi="宋体"/>
          <w:sz w:val="21"/>
          <w:szCs w:val="21"/>
        </w:rPr>
        <w:t xml:space="preserve"> 除上述审核费用外，甲方还应承担乙方在完成本合同规定的审核过程中所实际发生的其</w:t>
      </w:r>
      <w:r>
        <w:rPr>
          <w:rFonts w:hint="eastAsia" w:ascii="宋体" w:hAnsi="宋体" w:cs="宋体"/>
          <w:sz w:val="21"/>
          <w:szCs w:val="21"/>
        </w:rPr>
        <w:t>它</w:t>
      </w:r>
      <w:r>
        <w:rPr>
          <w:rFonts w:hint="eastAsia" w:ascii="宋体" w:hAnsi="宋体"/>
          <w:sz w:val="21"/>
          <w:szCs w:val="21"/>
        </w:rPr>
        <w:t>费用（住宿费、餐费、交通费等），甲方应当按照实际发生的数额支付给乙方</w:t>
      </w:r>
      <w:r>
        <w:rPr>
          <w:rFonts w:hint="eastAsia" w:ascii="宋体" w:hAnsi="宋体"/>
          <w:sz w:val="21"/>
          <w:szCs w:val="21"/>
          <w:lang w:val="en-US" w:eastAsia="zh-CN"/>
        </w:rPr>
        <w:t>或乙方委派的审核组</w:t>
      </w:r>
      <w:r>
        <w:rPr>
          <w:rFonts w:hint="eastAsia" w:ascii="宋体" w:hAnsi="宋体"/>
          <w:sz w:val="21"/>
          <w:szCs w:val="21"/>
        </w:rPr>
        <w:t>。或按照如下约定执行：</w:t>
      </w:r>
      <w:r>
        <w:rPr>
          <w:rFonts w:hint="eastAsia" w:ascii="宋体" w:hAnsi="宋体"/>
          <w:sz w:val="21"/>
          <w:szCs w:val="21"/>
          <w:u w:val="single"/>
        </w:rPr>
        <w:t xml:space="preserve">                                         </w:t>
      </w:r>
    </w:p>
    <w:p w14:paraId="6ACCDFD3">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u w:val="single"/>
          <w:lang w:eastAsia="zh-CN"/>
        </w:rPr>
      </w:pPr>
      <w:r>
        <w:rPr>
          <w:rFonts w:hint="eastAsia" w:ascii="宋体" w:hAnsi="宋体"/>
          <w:sz w:val="21"/>
          <w:szCs w:val="21"/>
          <w:u w:val="single"/>
        </w:rPr>
        <w:t xml:space="preserve">                                                                                                 </w:t>
      </w:r>
      <w:r>
        <w:rPr>
          <w:rFonts w:hint="eastAsia" w:ascii="宋体" w:hAnsi="宋体"/>
          <w:sz w:val="21"/>
          <w:szCs w:val="21"/>
          <w:u w:val="single"/>
          <w:lang w:eastAsia="zh-CN"/>
        </w:rPr>
        <w:t>。</w:t>
      </w:r>
    </w:p>
    <w:p w14:paraId="5A1C53E7">
      <w:pPr>
        <w:keepNext w:val="0"/>
        <w:keepLines w:val="0"/>
        <w:pageBreakBefore w:val="0"/>
        <w:widowControl w:val="0"/>
        <w:tabs>
          <w:tab w:val="left" w:pos="1260"/>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 xml:space="preserve">4 </w:t>
      </w:r>
      <w:r>
        <w:rPr>
          <w:rFonts w:hint="eastAsia" w:ascii="宋体" w:hAnsi="宋体"/>
          <w:sz w:val="21"/>
          <w:szCs w:val="21"/>
        </w:rPr>
        <w:t>乙方在应收而未收到甲方认证费用时，有权取消现场审核</w:t>
      </w:r>
      <w:r>
        <w:rPr>
          <w:rFonts w:hint="eastAsia" w:ascii="宋体" w:hAnsi="宋体"/>
          <w:sz w:val="21"/>
          <w:szCs w:val="21"/>
          <w:lang w:val="en-US" w:eastAsia="zh-CN"/>
        </w:rPr>
        <w:t>；</w:t>
      </w:r>
      <w:r>
        <w:rPr>
          <w:rFonts w:hint="eastAsia" w:ascii="宋体" w:hAnsi="宋体"/>
          <w:sz w:val="21"/>
          <w:szCs w:val="21"/>
        </w:rPr>
        <w:t>或者乙方虽未收到甲方认证费用,但出于甲方的利益或者应甲方的要求继续审核时,甲方同意乙方延迟作出认证决定或者不将证书发放给甲方，同时乙方有权要求甲方支付审核费用的延迟费，延迟费按照每日万分之三的应付费用计算。</w:t>
      </w:r>
    </w:p>
    <w:p w14:paraId="2DF5ED9C">
      <w:pPr>
        <w:pStyle w:val="13"/>
        <w:keepNext w:val="0"/>
        <w:keepLines w:val="0"/>
        <w:pageBreakBefore w:val="0"/>
        <w:widowControl w:val="0"/>
        <w:kinsoku/>
        <w:wordWrap/>
        <w:overflowPunct/>
        <w:topLinePunct w:val="0"/>
        <w:bidi w:val="0"/>
        <w:spacing w:line="360" w:lineRule="exact"/>
        <w:ind w:left="0" w:leftChars="0"/>
        <w:textAlignment w:val="auto"/>
        <w:rPr>
          <w:rFonts w:hint="eastAsia" w:asciiTheme="minorEastAsia" w:hAnsiTheme="minorEastAsia" w:eastAsiaTheme="minorEastAsia" w:cstheme="minorEastAsia"/>
          <w:b/>
          <w:bCs w:val="0"/>
          <w:w w:val="99"/>
          <w:sz w:val="21"/>
          <w:szCs w:val="21"/>
        </w:rPr>
      </w:pPr>
      <w:r>
        <w:rPr>
          <w:rFonts w:hint="eastAsia" w:asciiTheme="minorEastAsia" w:hAnsiTheme="minorEastAsia" w:eastAsiaTheme="minorEastAsia" w:cstheme="minorEastAsia"/>
          <w:b/>
          <w:bCs w:val="0"/>
          <w:color w:val="auto"/>
          <w:w w:val="99"/>
          <w:kern w:val="2"/>
          <w:sz w:val="21"/>
          <w:szCs w:val="21"/>
        </w:rPr>
        <w:t>5 乙方对认证证书、标志拥有所有权，对甲方认证文件的错误引用、标志或审核报告的误导性使用的行为，可以根据情节要求甲方纠正或要求甲方采取纠正措施、可以暂停认证、撤销认证、公告违规行为以及采取必要的法律措施。甲方应承诺获得认证后正确使用认证证书、认证标志和有关信息。甲方引用认证资格和使用标志时应遵守以下（但不限于）规则：</w:t>
      </w:r>
    </w:p>
    <w:p w14:paraId="67763782">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bCs/>
          <w:sz w:val="21"/>
          <w:szCs w:val="21"/>
        </w:rPr>
      </w:pPr>
      <w:r>
        <w:rPr>
          <w:rFonts w:hint="eastAsia" w:ascii="宋体" w:hAnsi="宋体"/>
          <w:bCs/>
          <w:sz w:val="21"/>
          <w:szCs w:val="21"/>
        </w:rPr>
        <w:t>5.1 甲方</w:t>
      </w:r>
      <w:r>
        <w:rPr>
          <w:rFonts w:hint="eastAsia" w:ascii="宋体" w:hAnsi="宋体" w:cs="宋体_x000B_炠蠃豸.."/>
          <w:sz w:val="21"/>
          <w:szCs w:val="21"/>
        </w:rPr>
        <w:t>在传播媒介（如互联网、宣传册或广告）或其他文件中引用认证状态时，应符合</w:t>
      </w:r>
      <w:r>
        <w:rPr>
          <w:rFonts w:hint="eastAsia" w:ascii="宋体" w:hAnsi="宋体"/>
          <w:bCs/>
          <w:sz w:val="21"/>
          <w:szCs w:val="21"/>
        </w:rPr>
        <w:t>乙方在公开性文件中发布的《管理体系认证标志、认可标识和认证状态声明管理规定》。</w:t>
      </w:r>
    </w:p>
    <w:p w14:paraId="0E480035">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sz w:val="21"/>
          <w:szCs w:val="21"/>
        </w:rPr>
      </w:pPr>
      <w:r>
        <w:rPr>
          <w:rFonts w:hint="eastAsia" w:ascii="宋体" w:hAnsi="宋体"/>
          <w:bCs/>
          <w:sz w:val="21"/>
          <w:szCs w:val="21"/>
        </w:rPr>
        <w:t xml:space="preserve">5.2 </w:t>
      </w:r>
      <w:r>
        <w:rPr>
          <w:rFonts w:hint="eastAsia" w:ascii="宋体" w:hAnsi="宋体"/>
          <w:sz w:val="21"/>
          <w:szCs w:val="21"/>
        </w:rPr>
        <w:t>甲方不得将认证</w:t>
      </w:r>
      <w:r>
        <w:rPr>
          <w:rFonts w:hint="eastAsia" w:ascii="宋体" w:hAnsi="宋体" w:cs="宋体_x000B_炠蠃豸.."/>
          <w:sz w:val="21"/>
          <w:szCs w:val="21"/>
        </w:rPr>
        <w:t>标志用于产品或消费者所见的产品包装之上，或以任何其他可解释为表示产品符合性的方式使用。</w:t>
      </w:r>
    </w:p>
    <w:p w14:paraId="1C275FC6">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sz w:val="21"/>
          <w:szCs w:val="21"/>
        </w:rPr>
        <w:t xml:space="preserve">5.3 </w:t>
      </w:r>
      <w:r>
        <w:rPr>
          <w:rFonts w:hint="eastAsia" w:ascii="宋体" w:hAnsi="宋体" w:cs="Times New Roman"/>
          <w:color w:val="auto"/>
          <w:kern w:val="2"/>
          <w:sz w:val="21"/>
          <w:szCs w:val="21"/>
        </w:rPr>
        <w:t>甲方不得将标志用于实验室检测、校准或检查的报告。</w:t>
      </w:r>
    </w:p>
    <w:p w14:paraId="13516BAF">
      <w:pPr>
        <w:pStyle w:val="13"/>
        <w:keepNext w:val="0"/>
        <w:keepLines w:val="0"/>
        <w:pageBreakBefore w:val="0"/>
        <w:widowControl w:val="0"/>
        <w:kinsoku/>
        <w:wordWrap/>
        <w:overflowPunct/>
        <w:topLinePunct w:val="0"/>
        <w:bidi w:val="0"/>
        <w:spacing w:line="360" w:lineRule="exact"/>
        <w:ind w:left="0" w:leftChars="0"/>
        <w:textAlignment w:val="auto"/>
        <w:rPr>
          <w:rFonts w:ascii="宋体" w:hAnsi="宋体" w:cs="Times New Roman"/>
          <w:color w:val="auto"/>
          <w:kern w:val="2"/>
          <w:sz w:val="21"/>
          <w:szCs w:val="21"/>
        </w:rPr>
      </w:pPr>
      <w:r>
        <w:rPr>
          <w:rFonts w:hint="eastAsia" w:ascii="宋体" w:hAnsi="宋体" w:cs="Times New Roman"/>
          <w:color w:val="auto"/>
          <w:kern w:val="2"/>
          <w:sz w:val="21"/>
          <w:szCs w:val="21"/>
        </w:rPr>
        <w:t>5.4 甲方不得做出认证资格的误导性说明。</w:t>
      </w:r>
    </w:p>
    <w:p w14:paraId="4B35DA76">
      <w:pPr>
        <w:pStyle w:val="13"/>
        <w:keepNext w:val="0"/>
        <w:keepLines w:val="0"/>
        <w:pageBreakBefore w:val="0"/>
        <w:widowControl w:val="0"/>
        <w:kinsoku/>
        <w:wordWrap/>
        <w:overflowPunct/>
        <w:topLinePunct w:val="0"/>
        <w:bidi w:val="0"/>
        <w:spacing w:line="360" w:lineRule="exact"/>
        <w:ind w:left="0" w:leftChars="0"/>
        <w:textAlignment w:val="auto"/>
        <w:rPr>
          <w:rFonts w:ascii="宋体" w:hAnsi="宋体" w:cs="Times New Roman"/>
          <w:color w:val="auto"/>
          <w:kern w:val="2"/>
          <w:sz w:val="21"/>
          <w:szCs w:val="21"/>
        </w:rPr>
      </w:pPr>
      <w:r>
        <w:rPr>
          <w:rFonts w:hint="eastAsia" w:ascii="宋体" w:hAnsi="宋体" w:cs="Times New Roman"/>
          <w:color w:val="auto"/>
          <w:kern w:val="2"/>
          <w:sz w:val="21"/>
          <w:szCs w:val="21"/>
        </w:rPr>
        <w:t>5.5 甲方不得以误导性方式使用认证文件或其任何部分。</w:t>
      </w:r>
    </w:p>
    <w:p w14:paraId="7976D86E">
      <w:pPr>
        <w:pStyle w:val="13"/>
        <w:keepNext w:val="0"/>
        <w:keepLines w:val="0"/>
        <w:pageBreakBefore w:val="0"/>
        <w:widowControl w:val="0"/>
        <w:kinsoku/>
        <w:wordWrap/>
        <w:overflowPunct/>
        <w:topLinePunct w:val="0"/>
        <w:bidi w:val="0"/>
        <w:spacing w:line="360" w:lineRule="exact"/>
        <w:ind w:left="0" w:leftChars="0"/>
        <w:textAlignment w:val="auto"/>
        <w:rPr>
          <w:rFonts w:ascii="宋体" w:hAnsi="宋体" w:cs="Times New Roman"/>
          <w:color w:val="auto"/>
          <w:kern w:val="2"/>
          <w:sz w:val="21"/>
          <w:szCs w:val="21"/>
        </w:rPr>
      </w:pPr>
      <w:r>
        <w:rPr>
          <w:rFonts w:hint="eastAsia" w:ascii="宋体" w:hAnsi="宋体" w:cs="Times New Roman"/>
          <w:color w:val="auto"/>
          <w:kern w:val="2"/>
          <w:sz w:val="21"/>
          <w:szCs w:val="21"/>
        </w:rPr>
        <w:t>5.6 甲方在其认证被暂停或撤销时，须立即停止使用所有引用认证资格的广告材料。</w:t>
      </w:r>
    </w:p>
    <w:p w14:paraId="4EC69CF0">
      <w:pPr>
        <w:pStyle w:val="13"/>
        <w:keepNext w:val="0"/>
        <w:keepLines w:val="0"/>
        <w:pageBreakBefore w:val="0"/>
        <w:widowControl w:val="0"/>
        <w:kinsoku/>
        <w:wordWrap/>
        <w:overflowPunct/>
        <w:topLinePunct w:val="0"/>
        <w:bidi w:val="0"/>
        <w:spacing w:line="360" w:lineRule="exact"/>
        <w:ind w:left="0" w:leftChars="0"/>
        <w:textAlignment w:val="auto"/>
        <w:rPr>
          <w:rFonts w:ascii="宋体" w:hAnsi="宋体" w:cs="Times New Roman"/>
          <w:color w:val="auto"/>
          <w:kern w:val="2"/>
          <w:sz w:val="21"/>
          <w:szCs w:val="21"/>
        </w:rPr>
      </w:pPr>
      <w:r>
        <w:rPr>
          <w:rFonts w:hint="eastAsia" w:ascii="宋体" w:hAnsi="宋体" w:cs="Times New Roman"/>
          <w:color w:val="auto"/>
          <w:kern w:val="2"/>
          <w:sz w:val="21"/>
          <w:szCs w:val="21"/>
        </w:rPr>
        <w:t>5.7 甲方在认证范围被缩小时，须修改所有的广告材料。</w:t>
      </w:r>
    </w:p>
    <w:p w14:paraId="11FFA4D0">
      <w:pPr>
        <w:pStyle w:val="13"/>
        <w:keepNext w:val="0"/>
        <w:keepLines w:val="0"/>
        <w:pageBreakBefore w:val="0"/>
        <w:widowControl w:val="0"/>
        <w:kinsoku/>
        <w:wordWrap/>
        <w:overflowPunct/>
        <w:topLinePunct w:val="0"/>
        <w:bidi w:val="0"/>
        <w:spacing w:line="360" w:lineRule="exact"/>
        <w:ind w:left="0" w:leftChars="0"/>
        <w:textAlignment w:val="auto"/>
        <w:rPr>
          <w:rFonts w:ascii="宋体" w:hAnsi="宋体" w:cs="Times New Roman"/>
          <w:color w:val="auto"/>
          <w:kern w:val="2"/>
          <w:sz w:val="21"/>
          <w:szCs w:val="21"/>
        </w:rPr>
      </w:pPr>
      <w:r>
        <w:rPr>
          <w:rFonts w:hint="eastAsia" w:ascii="宋体" w:hAnsi="宋体" w:cs="Times New Roman"/>
          <w:color w:val="auto"/>
          <w:kern w:val="2"/>
          <w:sz w:val="21"/>
          <w:szCs w:val="21"/>
        </w:rPr>
        <w:t>5.8 甲方在引用其管理体系认证资格时，</w:t>
      </w:r>
      <w:r>
        <w:rPr>
          <w:rFonts w:hint="eastAsia" w:ascii="宋体" w:hAnsi="宋体" w:cs="宋体_x000B_炠蠃豸.."/>
          <w:sz w:val="21"/>
          <w:szCs w:val="21"/>
        </w:rPr>
        <w:t>不得擅自利用管理体系认证证书和相关文字、符号误导公众认为其产品或服务通过认证</w:t>
      </w:r>
      <w:r>
        <w:rPr>
          <w:rFonts w:hint="eastAsia" w:hAnsi="宋体" w:cs="方正仿宋简体"/>
          <w:sz w:val="21"/>
          <w:szCs w:val="21"/>
        </w:rPr>
        <w:t>。</w:t>
      </w:r>
    </w:p>
    <w:p w14:paraId="7462BA5D">
      <w:pPr>
        <w:pStyle w:val="13"/>
        <w:keepNext w:val="0"/>
        <w:keepLines w:val="0"/>
        <w:pageBreakBefore w:val="0"/>
        <w:widowControl w:val="0"/>
        <w:kinsoku/>
        <w:wordWrap/>
        <w:overflowPunct/>
        <w:topLinePunct w:val="0"/>
        <w:bidi w:val="0"/>
        <w:spacing w:line="360" w:lineRule="exact"/>
        <w:ind w:left="0" w:leftChars="0"/>
        <w:textAlignment w:val="auto"/>
        <w:rPr>
          <w:rFonts w:ascii="宋体" w:hAnsi="宋体" w:cs="Times New Roman"/>
          <w:color w:val="auto"/>
          <w:kern w:val="2"/>
          <w:sz w:val="21"/>
          <w:szCs w:val="21"/>
        </w:rPr>
      </w:pPr>
      <w:r>
        <w:rPr>
          <w:rFonts w:hint="eastAsia" w:ascii="宋体" w:hAnsi="宋体" w:cs="Times New Roman"/>
          <w:color w:val="auto"/>
          <w:kern w:val="2"/>
          <w:sz w:val="21"/>
          <w:szCs w:val="21"/>
        </w:rPr>
        <w:t>5.9 甲方不得暗示认证适用于认证范围以外的活动。</w:t>
      </w:r>
    </w:p>
    <w:p w14:paraId="0F734764">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5.10 甲方在使用认证资格时，不得使乙方和（或）认证制度声誉受损，失去公众信任。</w:t>
      </w:r>
    </w:p>
    <w:p w14:paraId="3431A517">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6 暂停、撤销或缩小认证范围 </w:t>
      </w:r>
    </w:p>
    <w:p w14:paraId="2BDD34AD">
      <w:pPr>
        <w:keepNext w:val="0"/>
        <w:keepLines w:val="0"/>
        <w:pageBreakBefore w:val="0"/>
        <w:widowControl w:val="0"/>
        <w:kinsoku/>
        <w:wordWrap/>
        <w:overflowPunct/>
        <w:topLinePunct w:val="0"/>
        <w:bidi w:val="0"/>
        <w:spacing w:line="360" w:lineRule="exact"/>
        <w:ind w:left="0" w:leftChars="0"/>
        <w:jc w:val="left"/>
        <w:textAlignment w:val="auto"/>
        <w:rPr>
          <w:rFonts w:hint="eastAsia" w:ascii="宋体" w:hAnsi="宋体"/>
          <w:sz w:val="21"/>
          <w:szCs w:val="21"/>
        </w:rPr>
      </w:pPr>
      <w:r>
        <w:rPr>
          <w:rFonts w:hint="eastAsia" w:ascii="宋体" w:hAnsi="宋体"/>
          <w:sz w:val="21"/>
          <w:szCs w:val="21"/>
        </w:rPr>
        <w:t>6.</w:t>
      </w:r>
      <w:r>
        <w:rPr>
          <w:rFonts w:ascii="宋体" w:hAnsi="宋体"/>
          <w:sz w:val="21"/>
          <w:szCs w:val="21"/>
        </w:rPr>
        <w:t>1</w:t>
      </w:r>
      <w:r>
        <w:rPr>
          <w:rFonts w:hint="eastAsia" w:ascii="宋体" w:hAnsi="宋体"/>
          <w:sz w:val="21"/>
          <w:szCs w:val="21"/>
        </w:rPr>
        <w:t xml:space="preserve"> 甲方须遵守乙方公开性文件中的《授予或拒绝认证、扩大或缩小认证范围、暂停或恢复认证、撤销认证或更新认证管理程序》的规定。</w:t>
      </w:r>
    </w:p>
    <w:p w14:paraId="539BD193">
      <w:pPr>
        <w:keepNext w:val="0"/>
        <w:keepLines w:val="0"/>
        <w:pageBreakBefore w:val="0"/>
        <w:widowControl w:val="0"/>
        <w:kinsoku/>
        <w:wordWrap/>
        <w:overflowPunct/>
        <w:topLinePunct w:val="0"/>
        <w:bidi w:val="0"/>
        <w:spacing w:line="360" w:lineRule="exact"/>
        <w:ind w:left="0" w:leftChars="0"/>
        <w:jc w:val="left"/>
        <w:textAlignment w:val="auto"/>
        <w:rPr>
          <w:rFonts w:hint="eastAsia" w:ascii="宋体" w:hAnsi="宋体"/>
          <w:sz w:val="21"/>
          <w:szCs w:val="21"/>
        </w:rPr>
      </w:pPr>
    </w:p>
    <w:p w14:paraId="52CAAF69">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 乙方在如下情况出现时通知甲方暂停认证资格，甲方须立即停止使用认证证书、认证标志、认可标识，乙方按照相关要求在乙方网站予以公告，同时上报CNCA、CNAS</w:t>
      </w:r>
      <w:r>
        <w:rPr>
          <w:rFonts w:hint="eastAsia" w:ascii="宋体" w:hAnsi="宋体" w:cs="Times New Roman"/>
          <w:color w:val="auto"/>
          <w:kern w:val="2"/>
          <w:sz w:val="21"/>
          <w:szCs w:val="21"/>
          <w:lang w:eastAsia="zh-CN"/>
        </w:rPr>
        <w:t>（</w:t>
      </w:r>
      <w:r>
        <w:rPr>
          <w:rFonts w:hint="eastAsia" w:ascii="宋体" w:hAnsi="宋体" w:cs="Times New Roman"/>
          <w:color w:val="auto"/>
          <w:kern w:val="2"/>
          <w:sz w:val="21"/>
          <w:szCs w:val="21"/>
          <w:lang w:val="en-US" w:eastAsia="zh-CN"/>
        </w:rPr>
        <w:t>适用时）</w:t>
      </w:r>
      <w:r>
        <w:rPr>
          <w:rFonts w:hint="eastAsia" w:ascii="宋体" w:hAnsi="宋体" w:cs="Times New Roman"/>
          <w:color w:val="auto"/>
          <w:kern w:val="2"/>
          <w:sz w:val="21"/>
          <w:szCs w:val="21"/>
        </w:rPr>
        <w:t>、CCAA及其他认证监督管理部门。在暂停期间，甲方的管理体系认证暂时无效。暂停期限最多六个月。甲方在暂停期限内必须采取有效的纠正措施，必要时，甲方须接受乙方的现场审核，乙方才可决定甲方是否能持续符合认证条件。</w:t>
      </w:r>
    </w:p>
    <w:p w14:paraId="383D1CEE">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6.2.1 管理体系持续或严重不满足认证要求，包括对管理体系运行有效性要求；</w:t>
      </w:r>
    </w:p>
    <w:p w14:paraId="0B8F9D96">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6.2.2 不承担、履行认证合同约定的责任和义务的；</w:t>
      </w:r>
    </w:p>
    <w:p w14:paraId="48F44906">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6.2.3 被有关执法监管部门责令停业整顿的；被地方认证监管部门发现体系运行存在问题，需要暂停证书的；</w:t>
      </w:r>
    </w:p>
    <w:p w14:paraId="0F995C5E">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6.2.4  持有的与相应的管理体系范围有关的行政许可证明、资质证书、强制性认证证书等过期失效，重新提交的申请已被受理但尚未换证的；</w:t>
      </w:r>
    </w:p>
    <w:p w14:paraId="1A0A69F7">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6.2.5 获证组织未按规定使用认证证书和认证标志的；</w:t>
      </w:r>
    </w:p>
    <w:p w14:paraId="2EB6DBAF">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6.2.6 获证组织发生质量监督或行业主管部门抽查不合格等情况，尚不需要立即撤销认证证书的；</w:t>
      </w:r>
    </w:p>
    <w:p w14:paraId="1D047109">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6.2.7 获证组织的体系或体系所覆盖的产品不符合认证依据、相关产品标准要求，但尚不需要立即撤销认证证书的；</w:t>
      </w:r>
    </w:p>
    <w:p w14:paraId="6523D8F4">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6.2.8 获证组织未按规定间隔期实施监督的，或虽然按照规定周期接受监督但未按要求提交不符合项整改材料的；</w:t>
      </w:r>
    </w:p>
    <w:p w14:paraId="6322CA8D">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6.2.9 获证组织未能按要求对信息进行通报的；</w:t>
      </w:r>
    </w:p>
    <w:p w14:paraId="7713F1DF">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6.2.10 获证组织与认证机构双方同意暂停认证资格的；</w:t>
      </w:r>
    </w:p>
    <w:p w14:paraId="7C3EAF04">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highlight w:val="yellow"/>
        </w:rPr>
      </w:pPr>
      <w:r>
        <w:rPr>
          <w:rFonts w:hint="eastAsia" w:ascii="宋体" w:hAnsi="宋体"/>
          <w:sz w:val="21"/>
          <w:szCs w:val="21"/>
        </w:rPr>
        <w:t>6.</w:t>
      </w:r>
      <w:r>
        <w:rPr>
          <w:rFonts w:ascii="宋体" w:hAnsi="宋体"/>
          <w:sz w:val="21"/>
          <w:szCs w:val="21"/>
        </w:rPr>
        <w:t>2.1</w:t>
      </w:r>
      <w:r>
        <w:rPr>
          <w:rFonts w:hint="eastAsia" w:ascii="宋体" w:hAnsi="宋体"/>
          <w:sz w:val="21"/>
          <w:szCs w:val="21"/>
          <w:lang w:val="en-US" w:eastAsia="zh-CN"/>
        </w:rPr>
        <w:t>1</w:t>
      </w:r>
      <w:r>
        <w:rPr>
          <w:rFonts w:ascii="宋体" w:hAnsi="宋体"/>
          <w:sz w:val="21"/>
          <w:szCs w:val="21"/>
        </w:rPr>
        <w:t xml:space="preserve"> </w:t>
      </w:r>
      <w:r>
        <w:rPr>
          <w:rFonts w:hint="eastAsia" w:ascii="宋体" w:hAnsi="宋体"/>
          <w:sz w:val="21"/>
          <w:szCs w:val="21"/>
        </w:rPr>
        <w:t>故意的或持续的不合规、由甲方提供的或审核组在特殊审核期间直接收集的有关导致监管机构参与（调查）的事件信息，如</w:t>
      </w:r>
      <w:r>
        <w:rPr>
          <w:rFonts w:hint="eastAsia" w:ascii="宋体" w:hAnsi="宋体" w:cs="Times New Roman"/>
          <w:color w:val="auto"/>
          <w:kern w:val="2"/>
          <w:sz w:val="21"/>
          <w:szCs w:val="21"/>
        </w:rPr>
        <w:t>严重事故或严重违法（行为），导致体系严重地不能满足认证要求而应暂停证书的。</w:t>
      </w:r>
    </w:p>
    <w:p w14:paraId="1E32C2DB">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w:t>
      </w:r>
      <w:r>
        <w:rPr>
          <w:rFonts w:hint="eastAsia" w:ascii="宋体" w:hAnsi="宋体"/>
          <w:sz w:val="21"/>
          <w:szCs w:val="21"/>
        </w:rPr>
        <w:t xml:space="preserve"> </w:t>
      </w:r>
      <w:r>
        <w:rPr>
          <w:rFonts w:hint="eastAsia" w:ascii="宋体" w:hAnsi="宋体" w:cs="Times New Roman"/>
          <w:color w:val="auto"/>
          <w:kern w:val="2"/>
          <w:sz w:val="21"/>
          <w:szCs w:val="21"/>
        </w:rPr>
        <w:t>乙方在如下情况出现时通知甲方撤销认证资格，甲方须立即将认证证书交回给乙方、并销毁任何附有认证标志、认可标识的载体，乙方按照相关要求在乙方网站予以公告，同时上报CNCA、CNAS</w:t>
      </w:r>
      <w:r>
        <w:rPr>
          <w:rFonts w:hint="eastAsia" w:ascii="宋体" w:hAnsi="宋体" w:cs="Times New Roman"/>
          <w:color w:val="auto"/>
          <w:kern w:val="2"/>
          <w:sz w:val="21"/>
          <w:szCs w:val="21"/>
          <w:lang w:eastAsia="zh-CN"/>
        </w:rPr>
        <w:t>（</w:t>
      </w:r>
      <w:r>
        <w:rPr>
          <w:rFonts w:hint="eastAsia" w:ascii="宋体" w:hAnsi="宋体" w:cs="Times New Roman"/>
          <w:color w:val="auto"/>
          <w:kern w:val="2"/>
          <w:sz w:val="21"/>
          <w:szCs w:val="21"/>
          <w:lang w:val="en-US" w:eastAsia="zh-CN"/>
        </w:rPr>
        <w:t>适用时）</w:t>
      </w:r>
      <w:r>
        <w:rPr>
          <w:rFonts w:hint="eastAsia" w:ascii="宋体" w:hAnsi="宋体" w:cs="Times New Roman"/>
          <w:color w:val="auto"/>
          <w:kern w:val="2"/>
          <w:sz w:val="21"/>
          <w:szCs w:val="21"/>
        </w:rPr>
        <w:t>、CCAA及其他认证监督管理部门。</w:t>
      </w:r>
    </w:p>
    <w:p w14:paraId="76EED8F1">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6.3.1 被注销或撤销法律地位证明文件的；</w:t>
      </w:r>
    </w:p>
    <w:p w14:paraId="065EC694">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6.3.2 被国家质量监督检验检疫总局列入质量信用严重失信企业名单；</w:t>
      </w:r>
    </w:p>
    <w:p w14:paraId="2EA45084">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6.3.3 拒绝配合认证监管部门实施的监督检查，或者对有关事项的询问和调查提供虚假材料或信息的；</w:t>
      </w:r>
    </w:p>
    <w:p w14:paraId="173FA09E">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6.3.4 拒绝接受国家产品质量监督抽查的；</w:t>
      </w:r>
    </w:p>
    <w:p w14:paraId="78703530">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6.3.5 出现重大的产品或服务等质量/职业健康安全事故/环境污染事件，经执法监管部门确认是获证组织违规造成的；</w:t>
      </w:r>
    </w:p>
    <w:p w14:paraId="10848397">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6.3.6 其他严重违反法律法规行为的；</w:t>
      </w:r>
    </w:p>
    <w:p w14:paraId="7B0E2E9B">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6.3.7 暂停认证证书的期限已满但导致暂停的问题未得到解决或纠正的（包括持有的行政许可证明、资质证书、强制性认证证书等已经过期失效但申请未获批准的）</w:t>
      </w:r>
    </w:p>
    <w:p w14:paraId="110BADAF">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6.3.8 没有运行管理体系或者已不具备运行条件的；</w:t>
      </w:r>
    </w:p>
    <w:p w14:paraId="77BAE1E9">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6.3.9 不按相关规定正确引用和宣传获得的认证信息，造成严重影响或后果，或者认证机构已要求其纠正但超过2个月仍未纠正的。</w:t>
      </w:r>
    </w:p>
    <w:p w14:paraId="65586069">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 xml:space="preserve">6.3.10 获证组织体系或体系覆盖的产品不符合认证依据或相关产品标准要求，需要立即撤销认证证书的； </w:t>
      </w:r>
    </w:p>
    <w:p w14:paraId="69D210B0">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6.3.11 获证组织不再生产体系覆盖内产品的；</w:t>
      </w:r>
    </w:p>
    <w:p w14:paraId="08F13BF0">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6.3.12 获证组织已经转换到其他认证机构或明确表示转换到其他认证机构，不再保持</w:t>
      </w:r>
      <w:r>
        <w:rPr>
          <w:rFonts w:hint="eastAsia" w:ascii="宋体" w:hAnsi="宋体" w:cs="Times New Roman"/>
          <w:color w:val="auto"/>
          <w:kern w:val="2"/>
          <w:sz w:val="21"/>
          <w:szCs w:val="21"/>
          <w:lang w:val="en-US" w:eastAsia="zh-CN"/>
        </w:rPr>
        <w:t>天溯</w:t>
      </w:r>
      <w:r>
        <w:rPr>
          <w:rFonts w:hint="eastAsia" w:ascii="宋体" w:hAnsi="宋体" w:cs="Times New Roman"/>
          <w:color w:val="auto"/>
          <w:kern w:val="2"/>
          <w:sz w:val="21"/>
          <w:szCs w:val="21"/>
        </w:rPr>
        <w:t>认证证书的；</w:t>
      </w:r>
    </w:p>
    <w:p w14:paraId="579BD491">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 xml:space="preserve">6.3.13 获证组织对相关方重大投诉未能采取有效处理措施的； </w:t>
      </w:r>
    </w:p>
    <w:p w14:paraId="1B48C487">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6.3.14 获证组织虚报、瞒报获证所需信息的；</w:t>
      </w:r>
    </w:p>
    <w:p w14:paraId="1FEA5F84">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6.3.15 获证组织申请撤销认证证书的；</w:t>
      </w:r>
    </w:p>
    <w:p w14:paraId="106B8367">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6.3.16 因未缴纳监督审核费而暂停认证证书，三个月后仍不按合同要求缴费；</w:t>
      </w:r>
    </w:p>
    <w:p w14:paraId="38A45392">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sz w:val="21"/>
          <w:szCs w:val="21"/>
        </w:rPr>
      </w:pPr>
      <w:r>
        <w:rPr>
          <w:rFonts w:hint="eastAsia" w:ascii="宋体" w:hAnsi="宋体"/>
          <w:sz w:val="21"/>
          <w:szCs w:val="21"/>
        </w:rPr>
        <w:t>6.</w:t>
      </w:r>
      <w:r>
        <w:rPr>
          <w:rFonts w:ascii="宋体" w:hAnsi="宋体"/>
          <w:sz w:val="21"/>
          <w:szCs w:val="21"/>
        </w:rPr>
        <w:t>3.</w:t>
      </w:r>
      <w:r>
        <w:rPr>
          <w:rFonts w:hint="eastAsia" w:ascii="宋体" w:hAnsi="宋体"/>
          <w:sz w:val="21"/>
          <w:szCs w:val="21"/>
          <w:lang w:val="en-US" w:eastAsia="zh-CN"/>
        </w:rPr>
        <w:t xml:space="preserve">17 </w:t>
      </w:r>
      <w:r>
        <w:rPr>
          <w:rFonts w:hint="eastAsia" w:ascii="宋体" w:hAnsi="宋体"/>
          <w:sz w:val="21"/>
          <w:szCs w:val="21"/>
        </w:rPr>
        <w:t>故意的或持续的不合规、由甲方提供的或审核组在特殊审核期间直接收集的有关导致监管机构参与（调查）的事件信息，如</w:t>
      </w:r>
      <w:r>
        <w:rPr>
          <w:rFonts w:hint="eastAsia" w:ascii="宋体" w:hAnsi="宋体" w:cs="Times New Roman"/>
          <w:color w:val="auto"/>
          <w:kern w:val="2"/>
          <w:sz w:val="21"/>
          <w:szCs w:val="21"/>
        </w:rPr>
        <w:t>严重事故或严重违法（行为），导致体系严重地不能满足认证要求而应撤销证书的。</w:t>
      </w:r>
    </w:p>
    <w:p w14:paraId="06772E29">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olor w:val="auto"/>
          <w:sz w:val="21"/>
          <w:szCs w:val="21"/>
        </w:rPr>
        <w:t>6.3.</w:t>
      </w:r>
      <w:r>
        <w:rPr>
          <w:rFonts w:hint="eastAsia" w:ascii="宋体" w:hAnsi="宋体"/>
          <w:color w:val="auto"/>
          <w:sz w:val="21"/>
          <w:szCs w:val="21"/>
          <w:lang w:val="en-US" w:eastAsia="zh-CN"/>
        </w:rPr>
        <w:t>18</w:t>
      </w:r>
      <w:r>
        <w:rPr>
          <w:rFonts w:hint="eastAsia" w:ascii="宋体" w:hAnsi="宋体"/>
          <w:color w:val="auto"/>
          <w:sz w:val="21"/>
          <w:szCs w:val="21"/>
        </w:rPr>
        <w:t xml:space="preserve"> 其它（如，认证标准发生变化获证方不愿或不能保证符合新的要求等）。</w:t>
      </w:r>
    </w:p>
    <w:p w14:paraId="463F90B0">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6.4</w:t>
      </w:r>
      <w:r>
        <w:rPr>
          <w:rFonts w:hint="eastAsia" w:ascii="宋体" w:hAnsi="宋体"/>
          <w:sz w:val="21"/>
          <w:szCs w:val="21"/>
        </w:rPr>
        <w:t xml:space="preserve"> </w:t>
      </w:r>
      <w:r>
        <w:rPr>
          <w:rFonts w:hint="eastAsia" w:ascii="宋体" w:hAnsi="宋体" w:cs="Times New Roman"/>
          <w:color w:val="auto"/>
          <w:kern w:val="2"/>
          <w:sz w:val="21"/>
          <w:szCs w:val="21"/>
        </w:rPr>
        <w:t>缩小认证范围</w:t>
      </w:r>
    </w:p>
    <w:p w14:paraId="1D546477">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6.4.1 如果甲方未能在乙方规定的时限内解决造成暂停的问题，缩小其认证范围是乙方可以采取的措施；</w:t>
      </w:r>
    </w:p>
    <w:p w14:paraId="5490F609">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6.4.2 如果甲方在认证范围的某些部分持续地或严重地不满足认证要求，乙方应缩小其认证范围，以排除不满足要求的部分。认证范围的缩小应与认证标准的要求一致；</w:t>
      </w:r>
    </w:p>
    <w:p w14:paraId="0C71B6BB">
      <w:pPr>
        <w:pStyle w:val="13"/>
        <w:keepNext w:val="0"/>
        <w:keepLines w:val="0"/>
        <w:pageBreakBefore w:val="0"/>
        <w:widowControl w:val="0"/>
        <w:kinsoku/>
        <w:wordWrap/>
        <w:overflowPunct/>
        <w:topLinePunct w:val="0"/>
        <w:bidi w:val="0"/>
        <w:spacing w:line="360" w:lineRule="exact"/>
        <w:ind w:left="0" w:leftChars="0"/>
        <w:textAlignment w:val="auto"/>
        <w:rPr>
          <w:rFonts w:hint="eastAsia" w:ascii="宋体" w:hAnsi="宋体" w:cs="Times New Roman"/>
          <w:color w:val="auto"/>
          <w:kern w:val="2"/>
          <w:sz w:val="21"/>
          <w:szCs w:val="21"/>
        </w:rPr>
      </w:pPr>
      <w:r>
        <w:rPr>
          <w:rFonts w:hint="eastAsia" w:ascii="宋体" w:hAnsi="宋体" w:cs="Times New Roman"/>
          <w:color w:val="auto"/>
          <w:kern w:val="2"/>
          <w:sz w:val="21"/>
          <w:szCs w:val="21"/>
        </w:rPr>
        <w:t>6.4.3 甲方主动要求缩小认证范围的。</w:t>
      </w:r>
    </w:p>
    <w:p w14:paraId="57153FF5">
      <w:pPr>
        <w:pStyle w:val="13"/>
        <w:keepNext w:val="0"/>
        <w:keepLines w:val="0"/>
        <w:pageBreakBefore w:val="0"/>
        <w:widowControl w:val="0"/>
        <w:kinsoku/>
        <w:wordWrap/>
        <w:overflowPunct/>
        <w:topLinePunct w:val="0"/>
        <w:bidi w:val="0"/>
        <w:spacing w:line="360" w:lineRule="exact"/>
        <w:ind w:left="0" w:leftChars="0"/>
        <w:textAlignment w:val="auto"/>
        <w:rPr>
          <w:rFonts w:hint="eastAsia" w:ascii="黑体" w:hAnsi="宋体" w:eastAsia="黑体" w:cs="Times New Roman"/>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bidi="ar-SA"/>
        </w:rPr>
        <w:t>7 其它应履行的义务：</w:t>
      </w:r>
      <w:r>
        <w:rPr>
          <w:rFonts w:hint="eastAsia" w:ascii="黑体" w:hAnsi="宋体" w:eastAsia="黑体" w:cs="Times New Roman"/>
          <w:bCs/>
          <w:color w:val="auto"/>
          <w:kern w:val="2"/>
          <w:sz w:val="21"/>
          <w:szCs w:val="21"/>
        </w:rPr>
        <w:t xml:space="preserve"> </w:t>
      </w:r>
    </w:p>
    <w:p w14:paraId="1023987F">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 甲方须遵守认证认可有关的法律法规及相关认证要求。</w:t>
      </w:r>
    </w:p>
    <w:p w14:paraId="6C608CB2">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7.2 甲方提交认证申请时须填写《认证申请书》，此申请书是本合同的附件，与本合同拥有同等的法律效力。</w:t>
      </w:r>
    </w:p>
    <w:p w14:paraId="397A369D">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7.3 甲方应至少在认证审核开始前的一个月根据乙方公开性文件的要求为乙方提供审核所需的全部资料和文件，交由乙方进行文件审核并使乙方得以对认证审核全过程进行策划，制定具体实施和监审等方案。</w:t>
      </w:r>
    </w:p>
    <w:p w14:paraId="46233DC6">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7.4初次认证审核实施时，甲方应至少保持3个月体系运行的有效证据。</w:t>
      </w:r>
    </w:p>
    <w:p w14:paraId="43300354">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7.5 甲方应对乙方在现场审核时提出的不符合项采取纠正及纠正措施，并在双方商定的纠正期限内提交不符合项纠正措施计划或措施实施的证明材料。</w:t>
      </w:r>
    </w:p>
    <w:p w14:paraId="031D955D">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7.6 甲方应承诺获得认证后持续有效运行管理体系，并应接受和配合政府主管部门、行业监管部门及行业自律组织安排的执法检查、有关体系认证的确认审核、例行监督检查及其它非例行监督检查，为稽查人员和审核组提供必要的工作条件和必要的配合，承诺对有关事项的询问和调查如实提供相关材料和信息。</w:t>
      </w:r>
    </w:p>
    <w:p w14:paraId="2B1DD0B3">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7.7 甲方不得向审核组任何成员以任何方式施加压力或提出与实际情况不符的要求。</w:t>
      </w:r>
    </w:p>
    <w:p w14:paraId="52AE199E">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ascii="宋体" w:hAnsi="宋体"/>
          <w:sz w:val="21"/>
          <w:szCs w:val="21"/>
        </w:rPr>
      </w:pPr>
      <w:r>
        <w:rPr>
          <w:rFonts w:hint="eastAsia" w:ascii="宋体" w:hAnsi="宋体"/>
          <w:sz w:val="21"/>
          <w:szCs w:val="21"/>
        </w:rPr>
        <w:t>7.8 接纳到场的观察员（同行人员）。</w:t>
      </w:r>
    </w:p>
    <w:p w14:paraId="37B858CF">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7.9 在管理体系运行过程中，甲方应承诺获得认证后发生以下情况时，应及时向乙方通报，适用时需配合乙方对此展开调查和取证：</w:t>
      </w:r>
    </w:p>
    <w:p w14:paraId="26AE6464">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7.9.1 客户及相关方有重大投诉；</w:t>
      </w:r>
    </w:p>
    <w:p w14:paraId="2008E8CF">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7.9.2 生产的产品或服务被执法监管部门认定不符合法定要求；</w:t>
      </w:r>
    </w:p>
    <w:p w14:paraId="22FA07D6">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7.9.3 发生产品或服务的质量、环境或安全事故，或导致监管机构介入的严重事件或违法的情况；</w:t>
      </w:r>
    </w:p>
    <w:p w14:paraId="1F5BD264">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7.9.4 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体系覆盖人员数量的变化；管理体系和重要过程的重大变更等；</w:t>
      </w:r>
    </w:p>
    <w:p w14:paraId="1DC790B3">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7.9.5 出现影响管理体系运行的其他重要情况。</w:t>
      </w:r>
    </w:p>
    <w:p w14:paraId="5985A991">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7.10 甲方有责任保证乙方派出的审核组成员在住宿、交通、现场工作时的健康和安全，并有配套的应急和必要的安保措施。</w:t>
      </w:r>
    </w:p>
    <w:p w14:paraId="59F01B7A">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7.11 乙方将认证要求的任何变更通过公开性文件或者其它方式通知甲方，并告知甲方符合新的要求所应采取的行动。</w:t>
      </w:r>
    </w:p>
    <w:p w14:paraId="6776CE95">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7.12 乙方审核的公开性须满足如下要求：</w:t>
      </w:r>
    </w:p>
    <w:p w14:paraId="4B0191F1">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7.12.1 将审核程序及要求在乙方前述网址的公开性文件内公开；</w:t>
      </w:r>
    </w:p>
    <w:p w14:paraId="049F5440">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7.12.2 将甲方证书的授予、保持、更新、扩大、缩小、暂停或撤销的信息在乙方的网站和政府主管部门（认监委）的网站予以公布；</w:t>
      </w:r>
    </w:p>
    <w:p w14:paraId="3793750F">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7.13 乙方信息的获得及保密义务：</w:t>
      </w:r>
    </w:p>
    <w:p w14:paraId="4476931A">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7.13.1 乙方为认证审核的目的，拥有获得甲方相关信息的权利；甲方有义务明确须保密的内容和范围，乙方负有对明确保密的信息负有保密的义务，但，已经公开或者法律、政府主管部门、行业管理部门、行业自律组织另有要求的例外；</w:t>
      </w:r>
    </w:p>
    <w:p w14:paraId="7B8B77B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7.13.2 乙方将拟向公众公开的信息提前告知甲方。</w:t>
      </w:r>
    </w:p>
    <w:p w14:paraId="2760F20F">
      <w:pPr>
        <w:keepNext w:val="0"/>
        <w:keepLines w:val="0"/>
        <w:pageBreakBefore w:val="0"/>
        <w:widowControl w:val="0"/>
        <w:tabs>
          <w:tab w:val="left" w:pos="1260"/>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7.14 乙方须对针对甲方的投诉、甲方的事故、甲方的变更作出回应，回应措施包括查询、向甲方调取资料和证据、实施特殊审核。</w:t>
      </w:r>
    </w:p>
    <w:p w14:paraId="0A88EE37">
      <w:pPr>
        <w:pStyle w:val="13"/>
        <w:keepNext w:val="0"/>
        <w:keepLines w:val="0"/>
        <w:pageBreakBefore w:val="0"/>
        <w:widowControl w:val="0"/>
        <w:kinsoku/>
        <w:wordWrap/>
        <w:overflowPunct/>
        <w:topLinePunct w:val="0"/>
        <w:bidi w:val="0"/>
        <w:spacing w:line="360" w:lineRule="exact"/>
        <w:ind w:left="0" w:leftChars="0"/>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8 生效、违约与争议处理</w:t>
      </w:r>
    </w:p>
    <w:p w14:paraId="4CE6C7C6">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8.1 本合同经双方签字盖章生效；本合同一式两份，甲乙双方各执一份，具有同等法律效力。</w:t>
      </w:r>
    </w:p>
    <w:p w14:paraId="223E55DE">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8.2 由于一方的违约行为导致本合同无法继续履行的，须支付另一方违约金，违约金为一个认证周期费用总和的50% 。</w:t>
      </w:r>
    </w:p>
    <w:p w14:paraId="57CB0D63">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8.3 由于一方的不当行为给另一方造成名誉和经济上直接和间接的损失的，须承担赔偿责任。</w:t>
      </w:r>
    </w:p>
    <w:p w14:paraId="7CB6609D">
      <w:pPr>
        <w:keepNext w:val="0"/>
        <w:keepLines w:val="0"/>
        <w:pageBreakBefore w:val="0"/>
        <w:widowControl w:val="0"/>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8.4 本合同在履行过程中如果发生争议，双方应当友好协商解决，若协商解决不成，可以向乙方所在地人民法院提起诉讼。</w:t>
      </w:r>
    </w:p>
    <w:p w14:paraId="0B21C404">
      <w:pPr>
        <w:pStyle w:val="13"/>
        <w:keepNext w:val="0"/>
        <w:keepLines w:val="0"/>
        <w:pageBreakBefore w:val="0"/>
        <w:widowControl w:val="0"/>
        <w:tabs>
          <w:tab w:val="left" w:pos="6160"/>
        </w:tabs>
        <w:kinsoku/>
        <w:wordWrap/>
        <w:overflowPunct/>
        <w:topLinePunct w:val="0"/>
        <w:bidi w:val="0"/>
        <w:spacing w:line="360" w:lineRule="exact"/>
        <w:ind w:left="0" w:leftChars="0"/>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9 通知及账户</w:t>
      </w:r>
      <w:r>
        <w:rPr>
          <w:rFonts w:hint="eastAsia" w:asciiTheme="minorEastAsia" w:hAnsiTheme="minorEastAsia" w:eastAsiaTheme="minorEastAsia" w:cstheme="minorEastAsia"/>
          <w:b/>
          <w:bCs/>
          <w:color w:val="auto"/>
          <w:kern w:val="2"/>
          <w:sz w:val="21"/>
          <w:szCs w:val="21"/>
          <w:lang w:val="en-US" w:eastAsia="zh-CN" w:bidi="ar-SA"/>
        </w:rPr>
        <w:tab/>
      </w:r>
    </w:p>
    <w:p w14:paraId="2155A1B0">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9.1 甲乙双方向如下指定联系人以书面文件（电子邮件、传真）的方式发送的文件、通知等，皆被认为是有效的送达，任何一方有责任将下列任何变更告知对方。</w:t>
      </w:r>
    </w:p>
    <w:p w14:paraId="52B15192">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textAlignment w:val="auto"/>
        <w:rPr>
          <w:rFonts w:hint="eastAsia" w:ascii="宋体" w:hAnsi="宋体"/>
          <w:sz w:val="21"/>
          <w:szCs w:val="21"/>
        </w:rPr>
      </w:pPr>
      <w:r>
        <w:rPr>
          <w:rFonts w:hint="eastAsia" w:ascii="宋体" w:hAnsi="宋体"/>
          <w:sz w:val="21"/>
          <w:szCs w:val="21"/>
        </w:rPr>
        <w:t>9.2 初审之前，甲乙双方指定其签约代表为联系人；认证注册后，甲方提供的《证书内容确认件》中的“联系人”为甲方后续联系人，乙方联系人为指定的客服人员，在甲方认证注册后另行书面通知甲方。</w:t>
      </w:r>
    </w:p>
    <w:p w14:paraId="0FC6F2D2">
      <w:pPr>
        <w:keepNext w:val="0"/>
        <w:keepLines w:val="0"/>
        <w:pageBreakBefore w:val="0"/>
        <w:widowControl w:val="0"/>
        <w:tabs>
          <w:tab w:val="left" w:pos="5175"/>
        </w:tabs>
        <w:kinsoku/>
        <w:wordWrap/>
        <w:overflowPunct/>
        <w:topLinePunct w:val="0"/>
        <w:autoSpaceDE/>
        <w:autoSpaceDN/>
        <w:bidi w:val="0"/>
        <w:adjustRightInd w:val="0"/>
        <w:snapToGrid w:val="0"/>
        <w:spacing w:after="157" w:afterLines="50" w:line="360" w:lineRule="exact"/>
        <w:ind w:left="0" w:leftChars="0" w:right="0" w:rightChars="0"/>
        <w:textAlignment w:val="auto"/>
        <w:rPr>
          <w:rFonts w:hint="eastAsia" w:ascii="宋体" w:hAnsi="宋体"/>
          <w:sz w:val="21"/>
          <w:szCs w:val="21"/>
        </w:rPr>
      </w:pPr>
      <w:r>
        <w:rPr>
          <w:rFonts w:hint="eastAsia" w:ascii="宋体" w:hAnsi="宋体"/>
          <w:sz w:val="21"/>
          <w:szCs w:val="21"/>
        </w:rPr>
        <w:t>9.3 甲方应支付给乙方的任何审核费用，须汇入如下乙方指定账户，方被视为有效支付，乙方指定账户如下：</w:t>
      </w:r>
    </w:p>
    <w:p w14:paraId="1837E944">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firstLine="420"/>
        <w:textAlignment w:val="auto"/>
        <w:rPr>
          <w:rFonts w:hint="eastAsia" w:ascii="宋体" w:hAnsi="宋体" w:eastAsia="宋体"/>
          <w:sz w:val="21"/>
          <w:szCs w:val="21"/>
          <w:lang w:eastAsia="zh-CN"/>
        </w:rPr>
      </w:pPr>
      <w:r>
        <w:rPr>
          <w:rFonts w:hint="eastAsia" w:ascii="宋体" w:hAnsi="宋体"/>
          <w:sz w:val="21"/>
          <w:szCs w:val="21"/>
        </w:rPr>
        <w:t>开户名</w:t>
      </w:r>
      <w:r>
        <w:rPr>
          <w:rFonts w:hint="eastAsia" w:ascii="宋体" w:hAnsi="宋体"/>
          <w:sz w:val="21"/>
          <w:szCs w:val="21"/>
          <w:lang w:eastAsia="zh-CN"/>
        </w:rPr>
        <w:t>：天溯国际质量认证（深圳）有限公司</w:t>
      </w:r>
    </w:p>
    <w:p w14:paraId="4FE24A1F">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firstLine="420"/>
        <w:textAlignment w:val="auto"/>
        <w:rPr>
          <w:rFonts w:hint="eastAsia" w:ascii="宋体" w:hAnsi="宋体"/>
          <w:sz w:val="21"/>
          <w:szCs w:val="21"/>
          <w:lang w:eastAsia="zh-CN"/>
        </w:rPr>
      </w:pPr>
      <w:r>
        <w:rPr>
          <w:rFonts w:hint="eastAsia" w:ascii="宋体" w:hAnsi="宋体"/>
          <w:sz w:val="21"/>
          <w:szCs w:val="21"/>
          <w:lang w:val="en-US" w:eastAsia="zh-CN"/>
        </w:rPr>
        <w:t>帐  号：</w:t>
      </w:r>
      <w:r>
        <w:rPr>
          <w:rFonts w:hint="eastAsia" w:ascii="宋体" w:hAnsi="宋体"/>
          <w:sz w:val="21"/>
          <w:szCs w:val="21"/>
          <w:lang w:eastAsia="zh-CN"/>
        </w:rPr>
        <w:t xml:space="preserve">79340078801300000280  </w:t>
      </w:r>
    </w:p>
    <w:p w14:paraId="6726157D">
      <w:pPr>
        <w:keepNext w:val="0"/>
        <w:keepLines w:val="0"/>
        <w:pageBreakBefore w:val="0"/>
        <w:widowControl w:val="0"/>
        <w:tabs>
          <w:tab w:val="left" w:pos="5175"/>
        </w:tabs>
        <w:kinsoku/>
        <w:wordWrap/>
        <w:overflowPunct/>
        <w:topLinePunct w:val="0"/>
        <w:bidi w:val="0"/>
        <w:adjustRightInd w:val="0"/>
        <w:snapToGrid w:val="0"/>
        <w:spacing w:line="360" w:lineRule="exact"/>
        <w:ind w:left="0" w:leftChars="0" w:firstLine="420"/>
        <w:textAlignment w:val="auto"/>
        <w:rPr>
          <w:rFonts w:hint="eastAsia" w:ascii="宋体" w:hAnsi="宋体"/>
          <w:sz w:val="21"/>
          <w:szCs w:val="21"/>
          <w:lang w:eastAsia="zh-CN"/>
        </w:rPr>
      </w:pPr>
      <w:r>
        <w:rPr>
          <w:rFonts w:hint="eastAsia" w:ascii="宋体" w:hAnsi="宋体"/>
          <w:sz w:val="21"/>
          <w:szCs w:val="21"/>
          <w:lang w:eastAsia="zh-CN"/>
        </w:rPr>
        <w:t>开户行：上海浦东发展银行股份有限公司深圳龙城支行</w:t>
      </w:r>
    </w:p>
    <w:p w14:paraId="2D38822E">
      <w:pPr>
        <w:keepNext w:val="0"/>
        <w:keepLines w:val="0"/>
        <w:pageBreakBefore w:val="0"/>
        <w:widowControl w:val="0"/>
        <w:tabs>
          <w:tab w:val="left" w:pos="5175"/>
        </w:tabs>
        <w:kinsoku/>
        <w:wordWrap/>
        <w:overflowPunct/>
        <w:topLinePunct w:val="0"/>
        <w:autoSpaceDE/>
        <w:autoSpaceDN/>
        <w:bidi w:val="0"/>
        <w:adjustRightInd w:val="0"/>
        <w:snapToGrid w:val="0"/>
        <w:spacing w:before="157" w:beforeLines="50" w:after="157" w:afterLines="50" w:line="360" w:lineRule="exact"/>
        <w:ind w:left="0" w:leftChars="0"/>
        <w:textAlignment w:val="auto"/>
        <w:rPr>
          <w:rFonts w:hint="eastAsia" w:ascii="宋体" w:hAnsi="宋体"/>
          <w:sz w:val="21"/>
          <w:szCs w:val="21"/>
        </w:rPr>
      </w:pPr>
      <w:r>
        <w:rPr>
          <w:rFonts w:hint="eastAsia" w:ascii="宋体" w:hAnsi="宋体"/>
          <w:sz w:val="21"/>
          <w:szCs w:val="21"/>
        </w:rPr>
        <w:t>9.4 为确保开票准确性，乙方将按照甲方如下信息开具增值税发票：</w:t>
      </w:r>
    </w:p>
    <w:p w14:paraId="071D7D8C">
      <w:pPr>
        <w:keepNext w:val="0"/>
        <w:keepLines w:val="0"/>
        <w:pageBreakBefore w:val="0"/>
        <w:widowControl w:val="0"/>
        <w:tabs>
          <w:tab w:val="left" w:pos="5175"/>
        </w:tabs>
        <w:kinsoku/>
        <w:wordWrap/>
        <w:overflowPunct/>
        <w:topLinePunct w:val="0"/>
        <w:bidi w:val="0"/>
        <w:adjustRightInd w:val="0"/>
        <w:snapToGrid w:val="0"/>
        <w:spacing w:line="360" w:lineRule="auto"/>
        <w:ind w:left="315" w:leftChars="0" w:hanging="315" w:hangingChars="150"/>
        <w:textAlignment w:val="auto"/>
        <w:rPr>
          <w:rFonts w:hint="eastAsia" w:ascii="宋体" w:hAnsi="宋体"/>
          <w:sz w:val="21"/>
          <w:szCs w:val="21"/>
          <w:u w:val="single"/>
        </w:rPr>
      </w:pPr>
      <w:r>
        <w:rPr>
          <w:rFonts w:hint="eastAsia" w:ascii="宋体" w:hAnsi="宋体"/>
          <w:sz w:val="21"/>
          <w:szCs w:val="21"/>
        </w:rPr>
        <w:t>公司名称（全称）：</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14:paraId="67DC3AC6">
      <w:pPr>
        <w:keepNext w:val="0"/>
        <w:keepLines w:val="0"/>
        <w:pageBreakBefore w:val="0"/>
        <w:widowControl w:val="0"/>
        <w:tabs>
          <w:tab w:val="left" w:pos="5175"/>
        </w:tabs>
        <w:kinsoku/>
        <w:wordWrap/>
        <w:overflowPunct/>
        <w:topLinePunct w:val="0"/>
        <w:bidi w:val="0"/>
        <w:adjustRightInd w:val="0"/>
        <w:snapToGrid w:val="0"/>
        <w:spacing w:line="360" w:lineRule="auto"/>
        <w:ind w:left="315" w:leftChars="0" w:hanging="315" w:hangingChars="150"/>
        <w:textAlignment w:val="auto"/>
        <w:rPr>
          <w:rFonts w:hint="eastAsia" w:ascii="宋体" w:hAnsi="宋体"/>
          <w:sz w:val="21"/>
          <w:szCs w:val="21"/>
        </w:rPr>
      </w:pPr>
      <w:r>
        <w:rPr>
          <w:rFonts w:hint="eastAsia" w:ascii="宋体" w:hAnsi="宋体"/>
          <w:sz w:val="21"/>
          <w:szCs w:val="21"/>
        </w:rPr>
        <w:t>纳税人识别号：</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14:paraId="32E56320">
      <w:pPr>
        <w:keepNext w:val="0"/>
        <w:keepLines w:val="0"/>
        <w:pageBreakBefore w:val="0"/>
        <w:widowControl w:val="0"/>
        <w:tabs>
          <w:tab w:val="left" w:pos="5175"/>
        </w:tabs>
        <w:kinsoku/>
        <w:wordWrap/>
        <w:overflowPunct/>
        <w:topLinePunct w:val="0"/>
        <w:bidi w:val="0"/>
        <w:adjustRightInd w:val="0"/>
        <w:snapToGrid w:val="0"/>
        <w:spacing w:line="360" w:lineRule="auto"/>
        <w:ind w:left="315" w:leftChars="0" w:hanging="315" w:hangingChars="150"/>
        <w:textAlignment w:val="auto"/>
        <w:rPr>
          <w:rFonts w:hint="eastAsia" w:ascii="宋体" w:hAnsi="宋体"/>
          <w:sz w:val="21"/>
          <w:szCs w:val="21"/>
        </w:rPr>
      </w:pPr>
      <w:r>
        <w:rPr>
          <w:rFonts w:hint="eastAsia" w:ascii="宋体" w:hAnsi="宋体"/>
          <w:sz w:val="21"/>
          <w:szCs w:val="21"/>
        </w:rPr>
        <w:t>地址、电话：</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14:paraId="474D0901">
      <w:pPr>
        <w:keepNext w:val="0"/>
        <w:keepLines w:val="0"/>
        <w:pageBreakBefore w:val="0"/>
        <w:widowControl w:val="0"/>
        <w:tabs>
          <w:tab w:val="left" w:pos="5175"/>
        </w:tabs>
        <w:kinsoku/>
        <w:wordWrap/>
        <w:overflowPunct/>
        <w:topLinePunct w:val="0"/>
        <w:bidi w:val="0"/>
        <w:adjustRightInd w:val="0"/>
        <w:snapToGrid w:val="0"/>
        <w:spacing w:line="360" w:lineRule="auto"/>
        <w:ind w:left="315" w:leftChars="0" w:hanging="315" w:hangingChars="150"/>
        <w:textAlignment w:val="auto"/>
        <w:rPr>
          <w:rFonts w:hint="eastAsia" w:ascii="宋体" w:hAnsi="宋体"/>
          <w:sz w:val="21"/>
          <w:szCs w:val="21"/>
          <w:u w:val="single"/>
        </w:rPr>
      </w:pPr>
      <w:r>
        <w:rPr>
          <w:rFonts w:hint="eastAsia" w:ascii="宋体" w:hAnsi="宋体"/>
          <w:sz w:val="21"/>
          <w:szCs w:val="21"/>
        </w:rPr>
        <w:t>开户银行及账号：</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14:paraId="5034969D">
      <w:pPr>
        <w:keepNext w:val="0"/>
        <w:keepLines w:val="0"/>
        <w:pageBreakBefore w:val="0"/>
        <w:widowControl w:val="0"/>
        <w:tabs>
          <w:tab w:val="left" w:pos="5175"/>
        </w:tabs>
        <w:kinsoku/>
        <w:wordWrap/>
        <w:overflowPunct/>
        <w:topLinePunct w:val="0"/>
        <w:bidi w:val="0"/>
        <w:adjustRightInd w:val="0"/>
        <w:snapToGrid w:val="0"/>
        <w:spacing w:line="360" w:lineRule="auto"/>
        <w:ind w:left="315" w:leftChars="0" w:hanging="315" w:hangingChars="150"/>
        <w:textAlignment w:val="auto"/>
        <w:rPr>
          <w:rFonts w:hint="eastAsia" w:ascii="宋体" w:hAnsi="宋体"/>
          <w:sz w:val="21"/>
          <w:szCs w:val="21"/>
          <w:u w:val="single"/>
        </w:rPr>
      </w:pPr>
    </w:p>
    <w:tbl>
      <w:tblPr>
        <w:tblStyle w:val="8"/>
        <w:tblW w:w="10271" w:type="dxa"/>
        <w:tblInd w:w="56" w:type="dxa"/>
        <w:tblLayout w:type="fixed"/>
        <w:tblCellMar>
          <w:top w:w="0" w:type="dxa"/>
          <w:left w:w="56" w:type="dxa"/>
          <w:bottom w:w="0" w:type="dxa"/>
          <w:right w:w="56" w:type="dxa"/>
        </w:tblCellMar>
      </w:tblPr>
      <w:tblGrid>
        <w:gridCol w:w="1361"/>
        <w:gridCol w:w="3409"/>
        <w:gridCol w:w="1196"/>
        <w:gridCol w:w="4305"/>
      </w:tblGrid>
      <w:tr w14:paraId="44204D1E">
        <w:tblPrEx>
          <w:tblCellMar>
            <w:top w:w="0" w:type="dxa"/>
            <w:left w:w="56" w:type="dxa"/>
            <w:bottom w:w="0" w:type="dxa"/>
            <w:right w:w="56" w:type="dxa"/>
          </w:tblCellMar>
        </w:tblPrEx>
        <w:trPr>
          <w:trHeight w:val="609" w:hRule="exact"/>
        </w:trPr>
        <w:tc>
          <w:tcPr>
            <w:tcW w:w="1361" w:type="dxa"/>
            <w:tcBorders>
              <w:top w:val="single" w:color="auto" w:sz="4" w:space="0"/>
              <w:left w:val="single" w:color="auto" w:sz="4" w:space="0"/>
              <w:bottom w:val="single" w:color="auto" w:sz="4" w:space="0"/>
              <w:right w:val="single" w:color="auto" w:sz="4" w:space="0"/>
            </w:tcBorders>
            <w:noWrap w:val="0"/>
            <w:vAlign w:val="center"/>
          </w:tcPr>
          <w:p w14:paraId="2255D440">
            <w:pPr>
              <w:keepNext w:val="0"/>
              <w:keepLines w:val="0"/>
              <w:pageBreakBefore w:val="0"/>
              <w:widowControl w:val="0"/>
              <w:tabs>
                <w:tab w:val="left" w:pos="5175"/>
              </w:tabs>
              <w:kinsoku/>
              <w:wordWrap/>
              <w:overflowPunct/>
              <w:topLinePunct w:val="0"/>
              <w:autoSpaceDE/>
              <w:autoSpaceDN/>
              <w:bidi w:val="0"/>
              <w:adjustRightInd w:val="0"/>
              <w:snapToGrid w:val="0"/>
              <w:spacing w:line="720" w:lineRule="auto"/>
              <w:jc w:val="center"/>
              <w:textAlignment w:val="auto"/>
              <w:rPr>
                <w:rFonts w:hint="eastAsia" w:ascii="宋体" w:hAnsi="宋体"/>
                <w:sz w:val="21"/>
                <w:szCs w:val="21"/>
              </w:rPr>
            </w:pPr>
            <w:r>
              <w:rPr>
                <w:rFonts w:hint="eastAsia" w:ascii="宋体" w:hAnsi="宋体"/>
                <w:sz w:val="21"/>
                <w:szCs w:val="21"/>
              </w:rPr>
              <w:t>甲方</w:t>
            </w:r>
          </w:p>
          <w:p w14:paraId="4D8D34EB">
            <w:pPr>
              <w:keepNext w:val="0"/>
              <w:keepLines w:val="0"/>
              <w:pageBreakBefore w:val="0"/>
              <w:widowControl w:val="0"/>
              <w:tabs>
                <w:tab w:val="left" w:pos="5175"/>
              </w:tabs>
              <w:kinsoku/>
              <w:wordWrap/>
              <w:overflowPunct/>
              <w:topLinePunct w:val="0"/>
              <w:autoSpaceDE/>
              <w:autoSpaceDN/>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(受审核方)</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24E90387">
            <w:pPr>
              <w:keepNext w:val="0"/>
              <w:keepLines w:val="0"/>
              <w:pageBreakBefore w:val="0"/>
              <w:widowControl w:val="0"/>
              <w:tabs>
                <w:tab w:val="left" w:pos="5175"/>
              </w:tabs>
              <w:kinsoku/>
              <w:wordWrap/>
              <w:overflowPunct/>
              <w:topLinePunct w:val="0"/>
              <w:autoSpaceDE/>
              <w:autoSpaceDN/>
              <w:bidi w:val="0"/>
              <w:adjustRightInd w:val="0"/>
              <w:snapToGrid w:val="0"/>
              <w:spacing w:line="240" w:lineRule="auto"/>
              <w:textAlignment w:val="auto"/>
              <w:rPr>
                <w:rFonts w:hint="eastAsia" w:ascii="宋体" w:hAnsi="宋体"/>
                <w:sz w:val="21"/>
                <w:szCs w:val="21"/>
              </w:rPr>
            </w:pPr>
          </w:p>
          <w:p w14:paraId="275E5B32">
            <w:pPr>
              <w:keepNext w:val="0"/>
              <w:keepLines w:val="0"/>
              <w:pageBreakBefore w:val="0"/>
              <w:widowControl w:val="0"/>
              <w:tabs>
                <w:tab w:val="left" w:pos="5175"/>
              </w:tabs>
              <w:kinsoku/>
              <w:wordWrap/>
              <w:overflowPunct/>
              <w:topLinePunct w:val="0"/>
              <w:autoSpaceDE/>
              <w:autoSpaceDN/>
              <w:bidi w:val="0"/>
              <w:adjustRightInd w:val="0"/>
              <w:snapToGrid w:val="0"/>
              <w:spacing w:line="240" w:lineRule="auto"/>
              <w:textAlignment w:val="auto"/>
              <w:rPr>
                <w:rFonts w:hint="eastAsia" w:ascii="宋体" w:hAnsi="宋体"/>
                <w:sz w:val="21"/>
                <w:szCs w:val="21"/>
              </w:rPr>
            </w:pPr>
            <w:r>
              <w:rPr>
                <w:rFonts w:hint="eastAsia" w:ascii="宋体" w:hAnsi="宋体"/>
                <w:sz w:val="21"/>
                <w:szCs w:val="21"/>
              </w:rPr>
              <w:t>（盖章）</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E4A708E">
            <w:pPr>
              <w:keepNext w:val="0"/>
              <w:keepLines w:val="0"/>
              <w:pageBreakBefore w:val="0"/>
              <w:widowControl w:val="0"/>
              <w:tabs>
                <w:tab w:val="left" w:pos="5175"/>
              </w:tabs>
              <w:kinsoku/>
              <w:wordWrap/>
              <w:overflowPunct/>
              <w:topLinePunct w:val="0"/>
              <w:autoSpaceDE/>
              <w:autoSpaceDN/>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乙方</w:t>
            </w:r>
          </w:p>
          <w:p w14:paraId="2ABA2243">
            <w:pPr>
              <w:keepNext w:val="0"/>
              <w:keepLines w:val="0"/>
              <w:pageBreakBefore w:val="0"/>
              <w:widowControl w:val="0"/>
              <w:tabs>
                <w:tab w:val="left" w:pos="5175"/>
              </w:tabs>
              <w:kinsoku/>
              <w:wordWrap/>
              <w:overflowPunct/>
              <w:topLinePunct w:val="0"/>
              <w:autoSpaceDE/>
              <w:autoSpaceDN/>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(认证机构)</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0AB5CA1B">
            <w:pPr>
              <w:keepNext w:val="0"/>
              <w:keepLines w:val="0"/>
              <w:pageBreakBefore w:val="0"/>
              <w:widowControl w:val="0"/>
              <w:tabs>
                <w:tab w:val="left" w:pos="5175"/>
              </w:tabs>
              <w:kinsoku/>
              <w:wordWrap/>
              <w:overflowPunct/>
              <w:topLinePunct w:val="0"/>
              <w:autoSpaceDE/>
              <w:autoSpaceDN/>
              <w:bidi w:val="0"/>
              <w:adjustRightInd w:val="0"/>
              <w:snapToGrid w:val="0"/>
              <w:spacing w:line="240" w:lineRule="auto"/>
              <w:ind w:left="0" w:leftChars="0"/>
              <w:textAlignment w:val="auto"/>
              <w:rPr>
                <w:rFonts w:hint="eastAsia" w:ascii="宋体" w:hAnsi="宋体"/>
                <w:sz w:val="21"/>
                <w:szCs w:val="21"/>
                <w:lang w:eastAsia="zh-CN"/>
              </w:rPr>
            </w:pPr>
            <w:r>
              <w:rPr>
                <w:rFonts w:hint="eastAsia" w:ascii="宋体" w:hAnsi="宋体"/>
                <w:sz w:val="21"/>
                <w:szCs w:val="21"/>
                <w:lang w:eastAsia="zh-CN"/>
              </w:rPr>
              <w:t>天溯国际质量认证（深圳）有限公司</w:t>
            </w:r>
          </w:p>
          <w:p w14:paraId="03765273">
            <w:pPr>
              <w:keepNext w:val="0"/>
              <w:keepLines w:val="0"/>
              <w:pageBreakBefore w:val="0"/>
              <w:widowControl w:val="0"/>
              <w:tabs>
                <w:tab w:val="left" w:pos="5175"/>
              </w:tabs>
              <w:kinsoku/>
              <w:wordWrap/>
              <w:overflowPunct/>
              <w:topLinePunct w:val="0"/>
              <w:autoSpaceDE/>
              <w:autoSpaceDN/>
              <w:bidi w:val="0"/>
              <w:adjustRightInd w:val="0"/>
              <w:snapToGrid w:val="0"/>
              <w:spacing w:line="240" w:lineRule="auto"/>
              <w:ind w:left="0" w:leftChars="0"/>
              <w:textAlignment w:val="auto"/>
              <w:rPr>
                <w:rFonts w:hint="eastAsia" w:ascii="宋体" w:hAnsi="宋体"/>
                <w:sz w:val="21"/>
                <w:szCs w:val="21"/>
              </w:rPr>
            </w:pPr>
            <w:r>
              <w:rPr>
                <w:rFonts w:hint="eastAsia" w:ascii="宋体" w:hAnsi="宋体"/>
                <w:sz w:val="21"/>
                <w:szCs w:val="21"/>
              </w:rPr>
              <w:t>（盖章）</w:t>
            </w:r>
          </w:p>
        </w:tc>
      </w:tr>
      <w:tr w14:paraId="211BF62D">
        <w:tblPrEx>
          <w:tblCellMar>
            <w:top w:w="0" w:type="dxa"/>
            <w:left w:w="56" w:type="dxa"/>
            <w:bottom w:w="0" w:type="dxa"/>
            <w:right w:w="56" w:type="dxa"/>
          </w:tblCellMar>
        </w:tblPrEx>
        <w:trPr>
          <w:trHeight w:val="647" w:hRule="exact"/>
        </w:trPr>
        <w:tc>
          <w:tcPr>
            <w:tcW w:w="1361" w:type="dxa"/>
            <w:tcBorders>
              <w:top w:val="single" w:color="auto" w:sz="4" w:space="0"/>
              <w:left w:val="single" w:color="auto" w:sz="4" w:space="0"/>
              <w:bottom w:val="single" w:color="auto" w:sz="4" w:space="0"/>
              <w:right w:val="single" w:color="auto" w:sz="4" w:space="0"/>
            </w:tcBorders>
            <w:noWrap w:val="0"/>
            <w:vAlign w:val="center"/>
          </w:tcPr>
          <w:p w14:paraId="1EA887B4">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地址</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5C77B577">
            <w:pPr>
              <w:keepNext w:val="0"/>
              <w:keepLines w:val="0"/>
              <w:pageBreakBefore w:val="0"/>
              <w:widowControl w:val="0"/>
              <w:tabs>
                <w:tab w:val="left" w:pos="5175"/>
              </w:tabs>
              <w:kinsoku/>
              <w:wordWrap/>
              <w:overflowPunct/>
              <w:topLinePunct w:val="0"/>
              <w:bidi w:val="0"/>
              <w:adjustRightInd w:val="0"/>
              <w:snapToGrid w:val="0"/>
              <w:spacing w:line="240" w:lineRule="auto"/>
              <w:ind w:left="0" w:leftChars="0"/>
              <w:textAlignment w:val="auto"/>
              <w:rPr>
                <w:rFonts w:hint="eastAsia" w:ascii="宋体" w:hAnsi="宋体" w:eastAsia="宋体"/>
                <w:sz w:val="21"/>
                <w:szCs w:val="21"/>
                <w:lang w:val="en-US"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593EDA6">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地址</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2A593360">
            <w:pPr>
              <w:keepNext w:val="0"/>
              <w:keepLines w:val="0"/>
              <w:pageBreakBefore w:val="0"/>
              <w:widowControl w:val="0"/>
              <w:tabs>
                <w:tab w:val="left" w:pos="5175"/>
              </w:tabs>
              <w:kinsoku/>
              <w:wordWrap/>
              <w:overflowPunct/>
              <w:topLinePunct w:val="0"/>
              <w:autoSpaceDE/>
              <w:autoSpaceDN/>
              <w:bidi w:val="0"/>
              <w:adjustRightInd w:val="0"/>
              <w:snapToGrid w:val="0"/>
              <w:spacing w:line="240" w:lineRule="auto"/>
              <w:ind w:left="0" w:leftChars="0"/>
              <w:textAlignment w:val="auto"/>
              <w:rPr>
                <w:rFonts w:hint="eastAsia" w:ascii="宋体" w:hAnsi="宋体"/>
                <w:sz w:val="21"/>
                <w:szCs w:val="21"/>
              </w:rPr>
            </w:pPr>
            <w:r>
              <w:rPr>
                <w:rFonts w:hint="eastAsia" w:ascii="宋体" w:hAnsi="宋体"/>
                <w:sz w:val="21"/>
                <w:szCs w:val="21"/>
                <w:lang w:val="en-US" w:eastAsia="zh-CN"/>
              </w:rPr>
              <w:t>深圳市龙岗区宝龙街道宝龙社区锦龙大道2号精锭科技工业厂区2号楼201</w:t>
            </w:r>
          </w:p>
        </w:tc>
      </w:tr>
      <w:tr w14:paraId="114BC13F">
        <w:tblPrEx>
          <w:tblCellMar>
            <w:top w:w="0" w:type="dxa"/>
            <w:left w:w="56" w:type="dxa"/>
            <w:bottom w:w="0" w:type="dxa"/>
            <w:right w:w="56" w:type="dxa"/>
          </w:tblCellMar>
        </w:tblPrEx>
        <w:trPr>
          <w:trHeight w:val="4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0647AE38">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签约代表</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248773A5">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textAlignment w:val="auto"/>
              <w:rPr>
                <w:rFonts w:hint="default" w:ascii="宋体" w:hAnsi="宋体"/>
                <w:sz w:val="21"/>
                <w:szCs w:val="21"/>
                <w:lang w:val="en-US" w:eastAsia="zh-CN"/>
              </w:rPr>
            </w:pPr>
            <w:r>
              <w:rPr>
                <w:rFonts w:hint="eastAsia" w:ascii="宋体" w:hAnsi="宋体"/>
                <w:sz w:val="21"/>
                <w:szCs w:val="21"/>
                <w:lang w:val="en-US" w:eastAsia="zh-CN"/>
              </w:rPr>
              <w:t xml:space="preserve">                                    </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DEC43D4">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签约代表</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79B35C0E">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textAlignment w:val="auto"/>
              <w:rPr>
                <w:rFonts w:hint="eastAsia" w:ascii="宋体" w:hAnsi="宋体"/>
                <w:sz w:val="21"/>
                <w:szCs w:val="21"/>
              </w:rPr>
            </w:pPr>
          </w:p>
        </w:tc>
      </w:tr>
      <w:tr w14:paraId="78B9E526">
        <w:tblPrEx>
          <w:tblCellMar>
            <w:top w:w="0" w:type="dxa"/>
            <w:left w:w="56" w:type="dxa"/>
            <w:bottom w:w="0" w:type="dxa"/>
            <w:right w:w="56" w:type="dxa"/>
          </w:tblCellMar>
        </w:tblPrEx>
        <w:trPr>
          <w:trHeight w:val="4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6EDE1ABB">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联系电话</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15CC4DDD">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textAlignment w:val="auto"/>
              <w:rPr>
                <w:rFonts w:hint="eastAsia" w:ascii="宋体" w:hAnsi="宋体"/>
                <w:sz w:val="21"/>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DC807E5">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联系电话</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502B67FA">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textAlignment w:val="auto"/>
              <w:rPr>
                <w:rFonts w:hint="eastAsia" w:ascii="宋体" w:hAnsi="宋体"/>
                <w:sz w:val="21"/>
                <w:szCs w:val="21"/>
              </w:rPr>
            </w:pPr>
            <w:r>
              <w:rPr>
                <w:rFonts w:hint="eastAsia" w:asciiTheme="minorEastAsia" w:hAnsiTheme="minorEastAsia" w:eastAsiaTheme="minorEastAsia" w:cstheme="minorEastAsia"/>
                <w:b w:val="0"/>
                <w:bCs/>
                <w:color w:val="000000"/>
                <w:sz w:val="21"/>
                <w:szCs w:val="21"/>
              </w:rPr>
              <w:t>0755</w:t>
            </w:r>
            <w:r>
              <w:rPr>
                <w:rFonts w:hint="eastAsia" w:asciiTheme="minorEastAsia" w:hAnsiTheme="minorEastAsia" w:eastAsiaTheme="minorEastAsia" w:cstheme="minorEastAsia"/>
                <w:b w:val="0"/>
                <w:bCs/>
                <w:color w:val="000000"/>
                <w:sz w:val="21"/>
                <w:szCs w:val="21"/>
                <w:lang w:val="en-US" w:eastAsia="zh-CN"/>
              </w:rPr>
              <w:t>-</w:t>
            </w:r>
            <w:r>
              <w:rPr>
                <w:rFonts w:hint="eastAsia" w:asciiTheme="minorEastAsia" w:hAnsiTheme="minorEastAsia" w:eastAsiaTheme="minorEastAsia" w:cstheme="minorEastAsia"/>
                <w:b w:val="0"/>
                <w:bCs/>
                <w:sz w:val="21"/>
                <w:szCs w:val="21"/>
              </w:rPr>
              <w:t>84235191</w:t>
            </w:r>
          </w:p>
        </w:tc>
      </w:tr>
      <w:tr w14:paraId="73AC6A57">
        <w:tblPrEx>
          <w:tblCellMar>
            <w:top w:w="0" w:type="dxa"/>
            <w:left w:w="56" w:type="dxa"/>
            <w:bottom w:w="0" w:type="dxa"/>
            <w:right w:w="56" w:type="dxa"/>
          </w:tblCellMar>
        </w:tblPrEx>
        <w:trPr>
          <w:trHeight w:val="4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B4189CC">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签订时间</w:t>
            </w:r>
          </w:p>
        </w:tc>
        <w:tc>
          <w:tcPr>
            <w:tcW w:w="3409" w:type="dxa"/>
            <w:tcBorders>
              <w:top w:val="single" w:color="auto" w:sz="4" w:space="0"/>
              <w:left w:val="single" w:color="auto" w:sz="4" w:space="0"/>
              <w:bottom w:val="single" w:color="auto" w:sz="4" w:space="0"/>
              <w:right w:val="single" w:color="auto" w:sz="4" w:space="0"/>
            </w:tcBorders>
            <w:noWrap w:val="0"/>
            <w:vAlign w:val="center"/>
          </w:tcPr>
          <w:p w14:paraId="7399C269">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textAlignment w:val="auto"/>
              <w:rPr>
                <w:rFonts w:hint="eastAsia" w:ascii="宋体" w:hAnsi="宋体"/>
                <w:sz w:val="21"/>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5B91EB6">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jc w:val="center"/>
              <w:textAlignment w:val="auto"/>
              <w:rPr>
                <w:rFonts w:hint="eastAsia" w:ascii="宋体" w:hAnsi="宋体"/>
                <w:sz w:val="21"/>
                <w:szCs w:val="21"/>
              </w:rPr>
            </w:pPr>
            <w:r>
              <w:rPr>
                <w:rFonts w:hint="eastAsia" w:ascii="宋体" w:hAnsi="宋体"/>
                <w:sz w:val="21"/>
                <w:szCs w:val="21"/>
              </w:rPr>
              <w:t>签订时间</w:t>
            </w:r>
          </w:p>
        </w:tc>
        <w:tc>
          <w:tcPr>
            <w:tcW w:w="4305" w:type="dxa"/>
            <w:tcBorders>
              <w:top w:val="single" w:color="auto" w:sz="4" w:space="0"/>
              <w:left w:val="single" w:color="auto" w:sz="4" w:space="0"/>
              <w:bottom w:val="single" w:color="auto" w:sz="4" w:space="0"/>
              <w:right w:val="single" w:color="auto" w:sz="4" w:space="0"/>
            </w:tcBorders>
            <w:noWrap w:val="0"/>
            <w:vAlign w:val="center"/>
          </w:tcPr>
          <w:p w14:paraId="48C78AF7">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textAlignment w:val="auto"/>
              <w:rPr>
                <w:rFonts w:hint="eastAsia" w:ascii="宋体" w:hAnsi="宋体"/>
                <w:sz w:val="21"/>
                <w:szCs w:val="21"/>
              </w:rPr>
            </w:pPr>
          </w:p>
        </w:tc>
      </w:tr>
    </w:tbl>
    <w:p w14:paraId="3249481E">
      <w:pPr>
        <w:keepNext w:val="0"/>
        <w:keepLines w:val="0"/>
        <w:pageBreakBefore w:val="0"/>
        <w:widowControl w:val="0"/>
        <w:tabs>
          <w:tab w:val="left" w:pos="5175"/>
        </w:tabs>
        <w:kinsoku/>
        <w:wordWrap/>
        <w:overflowPunct/>
        <w:topLinePunct w:val="0"/>
        <w:bidi w:val="0"/>
        <w:adjustRightInd w:val="0"/>
        <w:snapToGrid w:val="0"/>
        <w:spacing w:line="720" w:lineRule="auto"/>
        <w:ind w:left="0" w:leftChars="0"/>
        <w:textAlignment w:val="auto"/>
        <w:rPr>
          <w:rFonts w:hint="eastAsia" w:ascii="宋体" w:hAnsi="宋体"/>
          <w:sz w:val="21"/>
          <w:szCs w:val="21"/>
          <w:lang w:val="en-US" w:eastAsia="zh-CN"/>
        </w:rPr>
      </w:pPr>
    </w:p>
    <w:sectPr>
      <w:headerReference r:id="rId4" w:type="first"/>
      <w:footerReference r:id="rId6" w:type="first"/>
      <w:headerReference r:id="rId3" w:type="default"/>
      <w:footerReference r:id="rId5" w:type="default"/>
      <w:pgSz w:w="11907" w:h="17010"/>
      <w:pgMar w:top="1020" w:right="851" w:bottom="907" w:left="850" w:header="454" w:footer="48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宋体_x000B_炠蠃豸..">
    <w:altName w:val="宋体"/>
    <w:panose1 w:val="00000000000000000000"/>
    <w:charset w:val="86"/>
    <w:family w:val="roma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79C2">
    <w:pPr>
      <w:pStyle w:val="6"/>
    </w:pPr>
    <w:r>
      <w:t xml:space="preserve"> </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151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AA151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2C2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4CF2">
    <w:pPr>
      <w:rPr>
        <w:rFonts w:ascii="宋体" w:hAnsi="宋体"/>
        <w:sz w:val="28"/>
        <w:szCs w:val="28"/>
      </w:rPr>
    </w:pPr>
    <w:bookmarkStart w:id="0" w:name="_GoBack"/>
    <w:r>
      <w:rPr>
        <w:rFonts w:ascii="Arial Unicode MS" w:hAnsi="Arial Unicode MS" w:eastAsia="Arial Unicode MS" w:cs="Arial Unicode MS"/>
        <w:b/>
        <w:color w:val="auto"/>
        <w:sz w:val="13"/>
        <w:szCs w:val="13"/>
      </w:rPr>
      <mc:AlternateContent>
        <mc:Choice Requires="wps">
          <w:drawing>
            <wp:anchor distT="0" distB="0" distL="114300" distR="114300" simplePos="0" relativeHeight="251661312" behindDoc="0" locked="0" layoutInCell="1" allowOverlap="1">
              <wp:simplePos x="0" y="0"/>
              <wp:positionH relativeFrom="column">
                <wp:posOffset>4943475</wp:posOffset>
              </wp:positionH>
              <wp:positionV relativeFrom="paragraph">
                <wp:posOffset>-18415</wp:posOffset>
              </wp:positionV>
              <wp:extent cx="1504950" cy="392430"/>
              <wp:effectExtent l="4445" t="4445" r="14605" b="9525"/>
              <wp:wrapThrough wrapText="bothSides">
                <wp:wrapPolygon>
                  <wp:start x="-64" y="-245"/>
                  <wp:lineTo x="-64" y="21425"/>
                  <wp:lineTo x="21445" y="21425"/>
                  <wp:lineTo x="21445" y="-245"/>
                  <wp:lineTo x="-64" y="-245"/>
                </wp:wrapPolygon>
              </wp:wrapThrough>
              <wp:docPr id="3" name="Rectangle 3"/>
              <wp:cNvGraphicFramePr/>
              <a:graphic xmlns:a="http://schemas.openxmlformats.org/drawingml/2006/main">
                <a:graphicData uri="http://schemas.microsoft.com/office/word/2010/wordprocessingShape">
                  <wps:wsp>
                    <wps:cNvSpPr/>
                    <wps:spPr>
                      <a:xfrm>
                        <a:off x="0" y="0"/>
                        <a:ext cx="1504950" cy="3924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C4D699">
                          <w:pPr>
                            <w:rPr>
                              <w:rFonts w:hint="default"/>
                              <w:color w:val="auto"/>
                              <w:sz w:val="18"/>
                              <w:szCs w:val="18"/>
                              <w:lang w:val="en-US" w:eastAsia="zh-CN"/>
                            </w:rPr>
                          </w:pPr>
                          <w:r>
                            <w:rPr>
                              <w:rFonts w:hint="eastAsia"/>
                              <w:color w:val="auto"/>
                              <w:sz w:val="18"/>
                              <w:szCs w:val="18"/>
                              <w:lang w:val="en-US" w:eastAsia="zh-CN"/>
                            </w:rPr>
                            <w:t>文</w:t>
                          </w:r>
                          <w:r>
                            <w:rPr>
                              <w:rFonts w:hint="eastAsia"/>
                              <w:color w:val="auto"/>
                              <w:sz w:val="18"/>
                              <w:szCs w:val="18"/>
                            </w:rPr>
                            <w:t>件编号：</w:t>
                          </w:r>
                          <w:r>
                            <w:rPr>
                              <w:rFonts w:hint="eastAsia"/>
                              <w:color w:val="auto"/>
                              <w:sz w:val="18"/>
                              <w:szCs w:val="18"/>
                              <w:lang w:val="en-US" w:eastAsia="zh-CN"/>
                            </w:rPr>
                            <w:t>TS</w:t>
                          </w:r>
                          <w:r>
                            <w:rPr>
                              <w:rFonts w:hint="eastAsia"/>
                              <w:color w:val="auto"/>
                              <w:sz w:val="18"/>
                              <w:szCs w:val="18"/>
                            </w:rPr>
                            <w:t>-</w:t>
                          </w:r>
                          <w:r>
                            <w:rPr>
                              <w:rFonts w:hint="eastAsia"/>
                              <w:color w:val="auto"/>
                              <w:sz w:val="18"/>
                              <w:szCs w:val="18"/>
                              <w:lang w:val="en-US" w:eastAsia="zh-CN"/>
                            </w:rPr>
                            <w:t>P011-F06</w:t>
                          </w:r>
                        </w:p>
                        <w:p w14:paraId="26BE501E">
                          <w:pPr>
                            <w:rPr>
                              <w:rFonts w:hint="default" w:eastAsia="宋体"/>
                              <w:color w:val="auto"/>
                              <w:sz w:val="18"/>
                              <w:szCs w:val="18"/>
                              <w:lang w:val="en-US" w:eastAsia="zh-CN"/>
                            </w:rPr>
                          </w:pPr>
                          <w:r>
                            <w:rPr>
                              <w:rFonts w:hint="eastAsia"/>
                              <w:color w:val="auto"/>
                              <w:sz w:val="18"/>
                              <w:szCs w:val="18"/>
                            </w:rPr>
                            <w:t>版本/修订：</w:t>
                          </w:r>
                          <w:r>
                            <w:rPr>
                              <w:rFonts w:hint="eastAsia"/>
                              <w:color w:val="auto"/>
                              <w:sz w:val="18"/>
                              <w:szCs w:val="18"/>
                              <w:lang w:val="en-US" w:eastAsia="zh-CN"/>
                            </w:rPr>
                            <w:t>B/1版</w:t>
                          </w:r>
                        </w:p>
                        <w:p w14:paraId="73E21C2B"/>
                      </w:txbxContent>
                    </wps:txbx>
                    <wps:bodyPr upright="1"/>
                  </wps:wsp>
                </a:graphicData>
              </a:graphic>
            </wp:anchor>
          </w:drawing>
        </mc:Choice>
        <mc:Fallback>
          <w:pict>
            <v:rect id="Rectangle 3" o:spid="_x0000_s1026" o:spt="1" style="position:absolute;left:0pt;margin-left:389.25pt;margin-top:-1.45pt;height:30.9pt;width:118.5pt;mso-wrap-distance-left:9pt;mso-wrap-distance-right:9pt;z-index:251661312;mso-width-relative:page;mso-height-relative:page;" fillcolor="#FFFFFF" filled="t" stroked="t" coordsize="21600,21600" wrapcoords="-64 -245 -64 21425 21445 21425 21445 -245 -64 -245" o:gfxdata="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NmK42AAAAAoBAAAPAAAAAAAAAAEAIAAAACIAAABkcnMvZG93bnJldi54&#10;bWxQSwECFAAUAAAACACHTuJAW1ycd/oBAAAsBAAADgAAAAAAAAABACAAAAAnAQAAZHJzL2Uyb0Rv&#10;Yy54bWxQSwUGAAAAAAYABgBZAQAAkwUAAAAA&#10;">
              <v:fill on="t" focussize="0,0"/>
              <v:stroke color="#000000" joinstyle="miter"/>
              <v:imagedata o:title=""/>
              <o:lock v:ext="edit" aspectratio="f"/>
              <v:textbox>
                <w:txbxContent>
                  <w:p w14:paraId="0DC4D699">
                    <w:pPr>
                      <w:rPr>
                        <w:rFonts w:hint="default"/>
                        <w:color w:val="auto"/>
                        <w:sz w:val="18"/>
                        <w:szCs w:val="18"/>
                        <w:lang w:val="en-US" w:eastAsia="zh-CN"/>
                      </w:rPr>
                    </w:pPr>
                    <w:r>
                      <w:rPr>
                        <w:rFonts w:hint="eastAsia"/>
                        <w:color w:val="auto"/>
                        <w:sz w:val="18"/>
                        <w:szCs w:val="18"/>
                        <w:lang w:val="en-US" w:eastAsia="zh-CN"/>
                      </w:rPr>
                      <w:t>文</w:t>
                    </w:r>
                    <w:r>
                      <w:rPr>
                        <w:rFonts w:hint="eastAsia"/>
                        <w:color w:val="auto"/>
                        <w:sz w:val="18"/>
                        <w:szCs w:val="18"/>
                      </w:rPr>
                      <w:t>件编号：</w:t>
                    </w:r>
                    <w:r>
                      <w:rPr>
                        <w:rFonts w:hint="eastAsia"/>
                        <w:color w:val="auto"/>
                        <w:sz w:val="18"/>
                        <w:szCs w:val="18"/>
                        <w:lang w:val="en-US" w:eastAsia="zh-CN"/>
                      </w:rPr>
                      <w:t>TS</w:t>
                    </w:r>
                    <w:r>
                      <w:rPr>
                        <w:rFonts w:hint="eastAsia"/>
                        <w:color w:val="auto"/>
                        <w:sz w:val="18"/>
                        <w:szCs w:val="18"/>
                      </w:rPr>
                      <w:t>-</w:t>
                    </w:r>
                    <w:r>
                      <w:rPr>
                        <w:rFonts w:hint="eastAsia"/>
                        <w:color w:val="auto"/>
                        <w:sz w:val="18"/>
                        <w:szCs w:val="18"/>
                        <w:lang w:val="en-US" w:eastAsia="zh-CN"/>
                      </w:rPr>
                      <w:t>P011-F06</w:t>
                    </w:r>
                  </w:p>
                  <w:p w14:paraId="26BE501E">
                    <w:pPr>
                      <w:rPr>
                        <w:rFonts w:hint="default" w:eastAsia="宋体"/>
                        <w:color w:val="auto"/>
                        <w:sz w:val="18"/>
                        <w:szCs w:val="18"/>
                        <w:lang w:val="en-US" w:eastAsia="zh-CN"/>
                      </w:rPr>
                    </w:pPr>
                    <w:r>
                      <w:rPr>
                        <w:rFonts w:hint="eastAsia"/>
                        <w:color w:val="auto"/>
                        <w:sz w:val="18"/>
                        <w:szCs w:val="18"/>
                      </w:rPr>
                      <w:t>版本/修订：</w:t>
                    </w:r>
                    <w:r>
                      <w:rPr>
                        <w:rFonts w:hint="eastAsia"/>
                        <w:color w:val="auto"/>
                        <w:sz w:val="18"/>
                        <w:szCs w:val="18"/>
                        <w:lang w:val="en-US" w:eastAsia="zh-CN"/>
                      </w:rPr>
                      <w:t>B/1版</w:t>
                    </w:r>
                  </w:p>
                  <w:p w14:paraId="73E21C2B"/>
                </w:txbxContent>
              </v:textbox>
              <w10:wrap type="through"/>
            </v:rect>
          </w:pict>
        </mc:Fallback>
      </mc:AlternateContent>
    </w:r>
    <w:r>
      <w:rPr>
        <w:rFonts w:ascii="Arial Unicode MS" w:hAnsi="Arial Unicode MS" w:eastAsia="Arial Unicode MS" w:cs="Arial Unicode MS"/>
        <w:b/>
        <w:color w:val="auto"/>
        <w:sz w:val="13"/>
        <w:szCs w:val="13"/>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62230</wp:posOffset>
              </wp:positionV>
              <wp:extent cx="114300" cy="9906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300" cy="99060"/>
                      </a:xfrm>
                      <a:prstGeom prst="rect">
                        <a:avLst/>
                      </a:prstGeom>
                      <a:noFill/>
                      <a:ln w="15875">
                        <a:noFill/>
                      </a:ln>
                    </wps:spPr>
                    <wps:txbx>
                      <w:txbxContent>
                        <w:p w14:paraId="43257F1A">
                          <w:pPr>
                            <w:rPr>
                              <w:rFonts w:hint="default" w:eastAsia="宋体"/>
                              <w:sz w:val="18"/>
                              <w:szCs w:val="18"/>
                              <w:lang w:val="en-US" w:eastAsia="zh-CN"/>
                            </w:rPr>
                          </w:pPr>
                          <w:r>
                            <w:rPr>
                              <w:rFonts w:hint="eastAsia"/>
                              <w:sz w:val="18"/>
                              <w:szCs w:val="18"/>
                            </w:rPr>
                            <w:t>文</w:t>
                          </w:r>
                          <w:r>
                            <w:rPr>
                              <w:rFonts w:hint="eastAsia"/>
                              <w:color w:val="00B0F0"/>
                              <w:sz w:val="18"/>
                              <w:szCs w:val="18"/>
                            </w:rPr>
                            <w:t>件编号：</w:t>
                          </w:r>
                          <w:r>
                            <w:rPr>
                              <w:rFonts w:hint="eastAsia"/>
                              <w:color w:val="00B0F0"/>
                              <w:sz w:val="18"/>
                              <w:szCs w:val="18"/>
                              <w:lang w:eastAsia="zh-CN"/>
                            </w:rPr>
                            <w:t>天溯天溯（TSＴＴＴＴＴＴＴＴ）</w:t>
                          </w:r>
                          <w:r>
                            <w:rPr>
                              <w:rFonts w:hint="eastAsia"/>
                              <w:color w:val="00B0F0"/>
                              <w:sz w:val="18"/>
                              <w:szCs w:val="18"/>
                            </w:rPr>
                            <w:t>-0102版本/修订：</w:t>
                          </w:r>
                          <w:r>
                            <w:rPr>
                              <w:rFonts w:hint="eastAsia"/>
                              <w:color w:val="00B0F0"/>
                              <w:sz w:val="18"/>
                              <w:szCs w:val="18"/>
                              <w:lang w:val="en-US" w:eastAsia="zh-CN"/>
                            </w:rPr>
                            <w:t>B版</w:t>
                          </w:r>
                        </w:p>
                      </w:txbxContent>
                    </wps:txbx>
                    <wps:bodyPr lIns="91440" tIns="91440" rIns="91440" bIns="91440" upright="1"/>
                  </wps:wsp>
                </a:graphicData>
              </a:graphic>
            </wp:anchor>
          </w:drawing>
        </mc:Choice>
        <mc:Fallback>
          <w:pict>
            <v:shape id="文本框 2" o:spid="_x0000_s1026" o:spt="202" type="#_x0000_t202" style="position:absolute;left:0pt;margin-left:396pt;margin-top:4.9pt;height:7.8pt;width:9pt;z-index:251660288;mso-width-relative:page;mso-height-relative:page;" filled="f" stroked="f" coordsize="21600,21600" o:gfxdata="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ocBH/XAAAACAEAAA8AAAAAAAAAAQAgAAAAIgAAAGRycy9kb3du&#10;cmV2LnhtbFBLAQIUABQAAAAIAIdO4kBaW9eixwEAAIoDAAAOAAAAAAAAAAEAIAAAACYBAABkcnMv&#10;ZTJvRG9jLnhtbFBLBQYAAAAABgAGAFkBAABfBQAAAAA=&#10;">
              <v:fill on="f" focussize="0,0"/>
              <v:stroke on="f" weight="1.25pt"/>
              <v:imagedata o:title=""/>
              <o:lock v:ext="edit" aspectratio="f"/>
              <v:textbox inset="2.54mm,2.54mm,2.54mm,2.54mm">
                <w:txbxContent>
                  <w:p w14:paraId="43257F1A">
                    <w:pPr>
                      <w:rPr>
                        <w:rFonts w:hint="default" w:eastAsia="宋体"/>
                        <w:sz w:val="18"/>
                        <w:szCs w:val="18"/>
                        <w:lang w:val="en-US" w:eastAsia="zh-CN"/>
                      </w:rPr>
                    </w:pPr>
                    <w:r>
                      <w:rPr>
                        <w:rFonts w:hint="eastAsia"/>
                        <w:sz w:val="18"/>
                        <w:szCs w:val="18"/>
                      </w:rPr>
                      <w:t>文</w:t>
                    </w:r>
                    <w:r>
                      <w:rPr>
                        <w:rFonts w:hint="eastAsia"/>
                        <w:color w:val="00B0F0"/>
                        <w:sz w:val="18"/>
                        <w:szCs w:val="18"/>
                      </w:rPr>
                      <w:t>件编号：</w:t>
                    </w:r>
                    <w:r>
                      <w:rPr>
                        <w:rFonts w:hint="eastAsia"/>
                        <w:color w:val="00B0F0"/>
                        <w:sz w:val="18"/>
                        <w:szCs w:val="18"/>
                        <w:lang w:eastAsia="zh-CN"/>
                      </w:rPr>
                      <w:t>天溯天溯（TSＴＴＴＴＴＴＴＴ）</w:t>
                    </w:r>
                    <w:r>
                      <w:rPr>
                        <w:rFonts w:hint="eastAsia"/>
                        <w:color w:val="00B0F0"/>
                        <w:sz w:val="18"/>
                        <w:szCs w:val="18"/>
                      </w:rPr>
                      <w:t>-0102版本/修订：</w:t>
                    </w:r>
                    <w:r>
                      <w:rPr>
                        <w:rFonts w:hint="eastAsia"/>
                        <w:color w:val="00B0F0"/>
                        <w:sz w:val="18"/>
                        <w:szCs w:val="18"/>
                        <w:lang w:val="en-US" w:eastAsia="zh-CN"/>
                      </w:rPr>
                      <w:t>B版</w:t>
                    </w:r>
                  </w:p>
                </w:txbxContent>
              </v:textbox>
            </v:shape>
          </w:pict>
        </mc:Fallback>
      </mc:AlternateContent>
    </w:r>
    <w:r>
      <w:rPr>
        <w:rFonts w:hint="eastAsia" w:ascii="Arial Black" w:hAnsi="Arial Black" w:cs="Arial Black"/>
        <w:color w:val="auto"/>
        <w:szCs w:val="21"/>
      </w:rPr>
      <w:t xml:space="preserve"> </w:t>
    </w:r>
    <w:r>
      <w:rPr>
        <w:rFonts w:hint="eastAsia" w:ascii="Arial Black" w:hAnsi="Arial Black" w:cs="Arial Black"/>
        <w:color w:val="auto"/>
        <w:sz w:val="28"/>
        <w:szCs w:val="28"/>
        <w:lang w:val="en-US" w:eastAsia="zh-CN"/>
      </w:rPr>
      <w:t>TS</w:t>
    </w:r>
    <w:bookmarkEnd w:id="0"/>
    <w:r>
      <w:rPr>
        <w:rFonts w:hint="eastAsia"/>
        <w:b/>
        <w:sz w:val="28"/>
        <w:szCs w:val="28"/>
      </w:rPr>
      <w:t>天溯国际质量认证（深圳）有限公司</w:t>
    </w:r>
  </w:p>
  <w:p w14:paraId="309CA4DF">
    <w:pPr>
      <w:spacing w:line="160" w:lineRule="atLeast"/>
      <w:rPr>
        <w:rFonts w:ascii="Arial Unicode MS" w:hAnsi="Arial Unicode MS" w:eastAsia="Arial Unicode MS" w:cs="Arial Unicode MS"/>
        <w:b/>
        <w:sz w:val="13"/>
        <w:szCs w:val="13"/>
      </w:rPr>
    </w:pPr>
    <w:r>
      <w:rPr>
        <w:rFonts w:hint="eastAsia" w:ascii="Arial Unicode MS" w:hAnsi="Arial Unicode MS" w:eastAsia="Arial Unicode MS" w:cs="Arial Unicode MS"/>
        <w:b/>
        <w:sz w:val="13"/>
        <w:szCs w:val="13"/>
      </w:rPr>
      <w:t xml:space="preserve"> </w:t>
    </w:r>
    <w:r>
      <w:rPr>
        <w:rFonts w:hint="eastAsia" w:ascii="微软雅黑" w:hAnsi="微软雅黑" w:eastAsia="微软雅黑" w:cs="微软雅黑"/>
        <w:b/>
        <w:bCs/>
        <w:sz w:val="21"/>
        <w:szCs w:val="21"/>
      </w:rPr>
      <w:t xml:space="preserve">Tian Su International </w:t>
    </w:r>
    <w:r>
      <w:rPr>
        <w:rFonts w:hint="eastAsia" w:ascii="微软雅黑" w:hAnsi="微软雅黑" w:eastAsia="微软雅黑" w:cs="微软雅黑"/>
        <w:b/>
        <w:bCs/>
        <w:sz w:val="21"/>
        <w:szCs w:val="21"/>
        <w:lang w:val="en-US" w:eastAsia="zh-CN"/>
      </w:rPr>
      <w:t>Q</w:t>
    </w:r>
    <w:r>
      <w:rPr>
        <w:rFonts w:hint="eastAsia" w:ascii="微软雅黑" w:hAnsi="微软雅黑" w:eastAsia="微软雅黑" w:cs="微软雅黑"/>
        <w:b/>
        <w:bCs/>
        <w:sz w:val="21"/>
        <w:szCs w:val="21"/>
      </w:rPr>
      <w:t>uality Certification (shenzhen) CO., Ltd</w:t>
    </w:r>
    <w:r>
      <w:rPr>
        <w:rFonts w:hint="eastAsia" w:ascii="Arial Unicode MS" w:hAnsi="Arial Unicode MS" w:eastAsia="Arial Unicode MS" w:cs="Arial Unicode MS"/>
        <w:b/>
        <w:sz w:val="21"/>
        <w:szCs w:val="21"/>
      </w:rPr>
      <w:t xml:space="preserve"> </w:t>
    </w:r>
  </w:p>
  <w:p w14:paraId="711D73EB">
    <w:pPr>
      <w:spacing w:line="160" w:lineRule="atLeast"/>
      <w:rPr>
        <w:sz w:val="15"/>
        <w:szCs w:val="15"/>
      </w:rPr>
    </w:pPr>
    <w:r>
      <w:rPr>
        <w:rFonts w:hint="eastAsia" w:ascii="Arial Unicode MS" w:hAnsi="Arial Unicode MS" w:eastAsia="Arial Unicode MS" w:cs="Arial Unicode MS"/>
        <w:b/>
        <w:sz w:val="13"/>
        <w:szCs w:val="13"/>
      </w:rPr>
      <w:tab/>
    </w:r>
    <w:r>
      <w:rPr>
        <w:rFonts w:hint="eastAsia" w:eastAsia="隶书"/>
        <w:b/>
        <w:bCs/>
        <w:sz w:val="30"/>
        <w:szCs w:val="30"/>
      </w:rPr>
      <w:t xml:space="preserve"> </w:t>
    </w:r>
    <w:r>
      <w:rPr>
        <w:rFonts w:hint="eastAsia" w:eastAsia="隶书"/>
        <w:b/>
        <w:bCs/>
        <w:sz w:val="28"/>
        <w:szCs w:val="28"/>
      </w:rPr>
      <w:t xml:space="preserve">         </w:t>
    </w:r>
    <w:r>
      <w:rPr>
        <w:rFonts w:hint="eastAsia"/>
        <w:b/>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AD5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Tk0N2NmM2YzNzZhYzNlY2YyYThjMDA1NmI5NWQifQ=="/>
  </w:docVars>
  <w:rsids>
    <w:rsidRoot w:val="00ED54D7"/>
    <w:rsid w:val="001100CB"/>
    <w:rsid w:val="0016417E"/>
    <w:rsid w:val="002A6056"/>
    <w:rsid w:val="002F5224"/>
    <w:rsid w:val="00302116"/>
    <w:rsid w:val="003168D9"/>
    <w:rsid w:val="00366F75"/>
    <w:rsid w:val="003936EB"/>
    <w:rsid w:val="003D0A3A"/>
    <w:rsid w:val="003E03E9"/>
    <w:rsid w:val="00426223"/>
    <w:rsid w:val="005231A7"/>
    <w:rsid w:val="005835F0"/>
    <w:rsid w:val="00642FF9"/>
    <w:rsid w:val="00690339"/>
    <w:rsid w:val="006E3C6B"/>
    <w:rsid w:val="007215CB"/>
    <w:rsid w:val="007F7D39"/>
    <w:rsid w:val="00860FAA"/>
    <w:rsid w:val="00885338"/>
    <w:rsid w:val="00887D56"/>
    <w:rsid w:val="008C4CDA"/>
    <w:rsid w:val="00934BA3"/>
    <w:rsid w:val="00942E4F"/>
    <w:rsid w:val="009F6557"/>
    <w:rsid w:val="00A75D59"/>
    <w:rsid w:val="00A778D2"/>
    <w:rsid w:val="00AA223B"/>
    <w:rsid w:val="00BD7A18"/>
    <w:rsid w:val="00C82681"/>
    <w:rsid w:val="00C854FA"/>
    <w:rsid w:val="00C87122"/>
    <w:rsid w:val="00CB32F6"/>
    <w:rsid w:val="00DE7432"/>
    <w:rsid w:val="00E90D7E"/>
    <w:rsid w:val="00EA4830"/>
    <w:rsid w:val="00ED54D7"/>
    <w:rsid w:val="00FB5F76"/>
    <w:rsid w:val="00FE7BC6"/>
    <w:rsid w:val="04363C5F"/>
    <w:rsid w:val="04E611EE"/>
    <w:rsid w:val="06110F3E"/>
    <w:rsid w:val="069B7C33"/>
    <w:rsid w:val="09121C2B"/>
    <w:rsid w:val="0CD4705A"/>
    <w:rsid w:val="0D722984"/>
    <w:rsid w:val="0D9B1C66"/>
    <w:rsid w:val="0E5C3B49"/>
    <w:rsid w:val="0EC56195"/>
    <w:rsid w:val="0F1A0F56"/>
    <w:rsid w:val="11F105EA"/>
    <w:rsid w:val="147F4D0D"/>
    <w:rsid w:val="15ED7E03"/>
    <w:rsid w:val="1AC97C16"/>
    <w:rsid w:val="1BB77854"/>
    <w:rsid w:val="1D087C1D"/>
    <w:rsid w:val="1ED2035F"/>
    <w:rsid w:val="248774B9"/>
    <w:rsid w:val="263176E2"/>
    <w:rsid w:val="290B68E3"/>
    <w:rsid w:val="29EE5579"/>
    <w:rsid w:val="29EF7BB0"/>
    <w:rsid w:val="2C207230"/>
    <w:rsid w:val="2D936B66"/>
    <w:rsid w:val="2E76760C"/>
    <w:rsid w:val="2F1B3D19"/>
    <w:rsid w:val="2F412097"/>
    <w:rsid w:val="2FCA4F9F"/>
    <w:rsid w:val="30474B7C"/>
    <w:rsid w:val="34066C7C"/>
    <w:rsid w:val="34C7570A"/>
    <w:rsid w:val="35154ED0"/>
    <w:rsid w:val="36096653"/>
    <w:rsid w:val="36C833D8"/>
    <w:rsid w:val="377D43CB"/>
    <w:rsid w:val="37802149"/>
    <w:rsid w:val="3A1D2614"/>
    <w:rsid w:val="3B013C93"/>
    <w:rsid w:val="3DCE3B83"/>
    <w:rsid w:val="3E31788F"/>
    <w:rsid w:val="3E783DDC"/>
    <w:rsid w:val="423F791E"/>
    <w:rsid w:val="440B104F"/>
    <w:rsid w:val="44783613"/>
    <w:rsid w:val="44863F7A"/>
    <w:rsid w:val="462402B8"/>
    <w:rsid w:val="469D3B48"/>
    <w:rsid w:val="4ACF3407"/>
    <w:rsid w:val="4B144A2E"/>
    <w:rsid w:val="4D171B5C"/>
    <w:rsid w:val="4E5F48FD"/>
    <w:rsid w:val="4EAD3155"/>
    <w:rsid w:val="4ED00ADF"/>
    <w:rsid w:val="4F497C19"/>
    <w:rsid w:val="4FBA107F"/>
    <w:rsid w:val="50661722"/>
    <w:rsid w:val="51F77125"/>
    <w:rsid w:val="52CF7AFB"/>
    <w:rsid w:val="535A5E74"/>
    <w:rsid w:val="5408409D"/>
    <w:rsid w:val="558A3BC1"/>
    <w:rsid w:val="57180FF0"/>
    <w:rsid w:val="57ED71D6"/>
    <w:rsid w:val="59AE4B72"/>
    <w:rsid w:val="59F86A98"/>
    <w:rsid w:val="5AB27504"/>
    <w:rsid w:val="5E833AF6"/>
    <w:rsid w:val="5E8C667A"/>
    <w:rsid w:val="5EB24053"/>
    <w:rsid w:val="5F3B1D3C"/>
    <w:rsid w:val="674E1F7B"/>
    <w:rsid w:val="6A1B2D58"/>
    <w:rsid w:val="6E3668BC"/>
    <w:rsid w:val="72725FD0"/>
    <w:rsid w:val="73753209"/>
    <w:rsid w:val="73947BFF"/>
    <w:rsid w:val="742E0713"/>
    <w:rsid w:val="78C01CB4"/>
    <w:rsid w:val="7AC41522"/>
    <w:rsid w:val="7BBA0036"/>
    <w:rsid w:val="7E4E0D58"/>
    <w:rsid w:val="7EAA2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jc w:val="center"/>
      <w:outlineLvl w:val="0"/>
    </w:pPr>
    <w:rPr>
      <w:b/>
      <w:bCs/>
      <w:sz w:val="24"/>
      <w:lang w:val="en-GB"/>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40" w:lineRule="exact"/>
      <w:ind w:left="210" w:leftChars="100" w:firstLine="360" w:firstLineChars="150"/>
    </w:pPr>
    <w:rPr>
      <w:sz w:val="24"/>
      <w:szCs w:val="21"/>
    </w:rPr>
  </w:style>
  <w:style w:type="paragraph" w:styleId="4">
    <w:name w:val="Body Text Indent 2"/>
    <w:basedOn w:val="1"/>
    <w:qFormat/>
    <w:uiPriority w:val="0"/>
    <w:pPr>
      <w:spacing w:line="340" w:lineRule="exact"/>
      <w:ind w:firstLine="480"/>
    </w:pPr>
    <w:rPr>
      <w:sz w:val="24"/>
      <w:szCs w:val="21"/>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字符"/>
    <w:link w:val="6"/>
    <w:qFormat/>
    <w:uiPriority w:val="99"/>
    <w:rPr>
      <w:kern w:val="2"/>
      <w:sz w:val="18"/>
      <w:szCs w:val="18"/>
    </w:rPr>
  </w:style>
  <w:style w:type="paragraph" w:customStyle="1" w:styleId="1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4">
    <w:name w:val="标题 1 Char"/>
    <w:link w:val="2"/>
    <w:qFormat/>
    <w:uiPriority w:val="0"/>
    <w:rPr>
      <w:b/>
      <w:bCs/>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5734</Words>
  <Characters>6273</Characters>
  <Lines>40</Lines>
  <Paragraphs>11</Paragraphs>
  <TotalTime>380</TotalTime>
  <ScaleCrop>false</ScaleCrop>
  <LinksUpToDate>false</LinksUpToDate>
  <CharactersWithSpaces>7560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2019-03-13T02:08:00Z</dcterms:created>
  <dc:creator>go3</dc:creator>
  <cp:lastModifiedBy> Eating</cp:lastModifiedBy>
  <cp:lastPrinted>2015-07-22T06:49:00Z</cp:lastPrinted>
  <dcterms:modified xsi:type="dcterms:W3CDTF">2025-07-11T02:33:32Z</dcterms:modified>
  <dc:title>合同编号：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3E830D15A4A348B0BEC2BCEC9FB904A0_13</vt:lpwstr>
  </property>
  <property fmtid="{D5CDD505-2E9C-101B-9397-08002B2CF9AE}" pid="4" name="KSOTemplateDocerSaveRecord">
    <vt:lpwstr>eyJoZGlkIjoiMDI0OTVlMTcwMTk0MzhkODFhYzM3NWUzN2VjNDJhZDAiLCJ1c2VySWQiOiI4MDkwOTM2MzAifQ==</vt:lpwstr>
  </property>
</Properties>
</file>